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85372" w14:textId="6B703D19" w:rsidR="00F74DBA" w:rsidRPr="00667FA1" w:rsidRDefault="00F74DBA" w:rsidP="00667FA1">
      <w:pPr>
        <w:rPr>
          <w:rStyle w:val="s2"/>
          <w:rFonts w:ascii="Times New Roman" w:hAnsi="Times New Roman" w:cs="Times New Roman"/>
          <w:kern w:val="0"/>
          <w14:ligatures w14:val="none"/>
        </w:rPr>
      </w:pPr>
    </w:p>
    <w:p w14:paraId="0B7F107C" w14:textId="77777777" w:rsidR="00CB0817" w:rsidRDefault="00CB0817">
      <w:pPr>
        <w:pStyle w:val="p1"/>
        <w:divId w:val="1864051143"/>
        <w:rPr>
          <w:rStyle w:val="s2"/>
        </w:rPr>
      </w:pPr>
    </w:p>
    <w:p w14:paraId="577A1D5A" w14:textId="7A741BB8" w:rsidR="00F74DBA" w:rsidRDefault="00415DAC" w:rsidP="00415DAC">
      <w:pPr>
        <w:pStyle w:val="p1"/>
        <w:jc w:val="center"/>
        <w:divId w:val="1864051143"/>
        <w:rPr>
          <w:rStyle w:val="s2"/>
        </w:rPr>
      </w:pPr>
      <w:r>
        <w:rPr>
          <w:b/>
          <w:bCs/>
          <w:noProof/>
          <w:sz w:val="40"/>
          <w:szCs w:val="40"/>
        </w:rPr>
        <w:drawing>
          <wp:inline distT="0" distB="0" distL="0" distR="0" wp14:anchorId="53586292" wp14:editId="00CA5721">
            <wp:extent cx="3749040" cy="4876800"/>
            <wp:effectExtent l="0" t="0" r="3810" b="0"/>
            <wp:docPr id="1016442334" name="Picture 3"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42334" name="Picture 3" descr="A logo for a charity&#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749040" cy="4876800"/>
                    </a:xfrm>
                    <a:prstGeom prst="rect">
                      <a:avLst/>
                    </a:prstGeom>
                  </pic:spPr>
                </pic:pic>
              </a:graphicData>
            </a:graphic>
          </wp:inline>
        </w:drawing>
      </w:r>
    </w:p>
    <w:p w14:paraId="5489EA68" w14:textId="5A474BDC" w:rsidR="00F74DBA" w:rsidRDefault="00F74DBA">
      <w:pPr>
        <w:pStyle w:val="p1"/>
        <w:divId w:val="1864051143"/>
      </w:pPr>
    </w:p>
    <w:p w14:paraId="26893EB9" w14:textId="77777777" w:rsidR="00445EB3" w:rsidRPr="00445EB3" w:rsidRDefault="00445EB3" w:rsidP="00445EB3">
      <w:pPr>
        <w:spacing w:after="0" w:line="240" w:lineRule="auto"/>
        <w:divId w:val="1116365216"/>
        <w:rPr>
          <w:rFonts w:ascii="Helvetica" w:hAnsi="Helvetica" w:cs="Times New Roman"/>
          <w:kern w:val="0"/>
          <w:sz w:val="18"/>
          <w:szCs w:val="18"/>
          <w14:ligatures w14:val="none"/>
        </w:rPr>
      </w:pPr>
      <w:r w:rsidRPr="00445EB3">
        <w:rPr>
          <w:rFonts w:ascii="Helvetica" w:hAnsi="Helvetica" w:cs="Times New Roman"/>
          <w:kern w:val="0"/>
          <w:sz w:val="18"/>
          <w:szCs w:val="18"/>
          <w14:ligatures w14:val="none"/>
        </w:rPr>
        <w:t> </w:t>
      </w:r>
    </w:p>
    <w:p w14:paraId="5429DC9F" w14:textId="781294A2" w:rsidR="00943697" w:rsidRPr="00415DAC" w:rsidRDefault="00415DAC" w:rsidP="003822CE">
      <w:pPr>
        <w:jc w:val="center"/>
        <w:rPr>
          <w:rFonts w:ascii="Calibri" w:hAnsi="Calibri" w:cs="Calibri"/>
          <w:b/>
          <w:bCs/>
          <w:sz w:val="40"/>
          <w:szCs w:val="40"/>
        </w:rPr>
      </w:pPr>
      <w:r w:rsidRPr="00415DAC">
        <w:rPr>
          <w:rFonts w:ascii="Calibri" w:hAnsi="Calibri" w:cs="Calibri"/>
          <w:b/>
          <w:bCs/>
          <w:sz w:val="40"/>
          <w:szCs w:val="40"/>
        </w:rPr>
        <w:t>TRUSTEE RECRUITMENT POLICY</w:t>
      </w:r>
    </w:p>
    <w:p w14:paraId="220ACCF8" w14:textId="77777777" w:rsidR="00E90FC2" w:rsidRPr="00415DAC" w:rsidRDefault="00E90FC2" w:rsidP="003822CE">
      <w:pPr>
        <w:jc w:val="center"/>
        <w:rPr>
          <w:rFonts w:ascii="Calibri" w:hAnsi="Calibri" w:cs="Calibri"/>
          <w:sz w:val="40"/>
          <w:szCs w:val="40"/>
        </w:rPr>
      </w:pPr>
    </w:p>
    <w:p w14:paraId="4CED07A3" w14:textId="64ECF483" w:rsidR="00E90FC2" w:rsidRPr="00415DAC" w:rsidRDefault="00415DAC" w:rsidP="003822CE">
      <w:pPr>
        <w:jc w:val="center"/>
        <w:rPr>
          <w:rFonts w:ascii="Calibri" w:hAnsi="Calibri" w:cs="Calibri"/>
          <w:b/>
          <w:bCs/>
          <w:sz w:val="40"/>
          <w:szCs w:val="40"/>
        </w:rPr>
      </w:pPr>
      <w:r w:rsidRPr="00415DAC">
        <w:rPr>
          <w:rFonts w:ascii="Calibri" w:hAnsi="Calibri" w:cs="Calibri"/>
          <w:b/>
          <w:bCs/>
          <w:sz w:val="40"/>
          <w:szCs w:val="40"/>
        </w:rPr>
        <w:t>November 2025</w:t>
      </w:r>
    </w:p>
    <w:p w14:paraId="1EC757C9" w14:textId="607F877E" w:rsidR="00415DAC" w:rsidRPr="00415DAC" w:rsidRDefault="00415DAC" w:rsidP="00415DAC">
      <w:pPr>
        <w:jc w:val="center"/>
        <w:rPr>
          <w:rFonts w:ascii="Calibri" w:hAnsi="Calibri" w:cs="Calibri"/>
          <w:b/>
          <w:bCs/>
          <w:sz w:val="40"/>
          <w:szCs w:val="40"/>
        </w:rPr>
      </w:pPr>
      <w:r w:rsidRPr="00415DAC">
        <w:rPr>
          <w:rFonts w:ascii="Calibri" w:hAnsi="Calibri" w:cs="Calibri"/>
          <w:b/>
          <w:bCs/>
          <w:sz w:val="40"/>
          <w:szCs w:val="40"/>
        </w:rPr>
        <w:t>V2.0</w:t>
      </w:r>
    </w:p>
    <w:p w14:paraId="3230D5F4" w14:textId="77777777" w:rsidR="00E270F2" w:rsidRDefault="00E270F2" w:rsidP="003822CE">
      <w:pPr>
        <w:jc w:val="center"/>
      </w:pPr>
    </w:p>
    <w:p w14:paraId="32A91C62" w14:textId="77777777" w:rsidR="00E270F2" w:rsidRDefault="00E270F2" w:rsidP="00E270F2"/>
    <w:p w14:paraId="0C2181AB" w14:textId="3FBB41FD" w:rsidR="00E270F2" w:rsidRPr="00415DAC" w:rsidRDefault="00415DAC" w:rsidP="00E270F2">
      <w:pPr>
        <w:rPr>
          <w:rFonts w:ascii="Calibri" w:hAnsi="Calibri" w:cs="Calibri"/>
          <w:sz w:val="22"/>
          <w:szCs w:val="22"/>
        </w:rPr>
      </w:pPr>
      <w:r w:rsidRPr="00415DAC">
        <w:rPr>
          <w:rStyle w:val="Strong"/>
          <w:rFonts w:ascii="Calibri" w:hAnsi="Calibri" w:cs="Calibri"/>
          <w:sz w:val="22"/>
          <w:szCs w:val="22"/>
        </w:rPr>
        <w:lastRenderedPageBreak/>
        <w:t>Policy name:</w:t>
      </w:r>
      <w:r w:rsidRPr="00415DAC">
        <w:rPr>
          <w:rFonts w:ascii="Calibri" w:hAnsi="Calibri" w:cs="Calibri"/>
          <w:sz w:val="22"/>
          <w:szCs w:val="22"/>
        </w:rPr>
        <w:t xml:space="preserve"> Florence Foundation Trustee </w:t>
      </w:r>
      <w:r w:rsidR="00034E33">
        <w:rPr>
          <w:rFonts w:ascii="Calibri" w:hAnsi="Calibri" w:cs="Calibri"/>
          <w:sz w:val="22"/>
          <w:szCs w:val="22"/>
        </w:rPr>
        <w:t>Recruitment</w:t>
      </w:r>
      <w:r w:rsidRPr="00415DAC">
        <w:rPr>
          <w:rFonts w:ascii="Calibri" w:hAnsi="Calibri" w:cs="Calibri"/>
          <w:sz w:val="22"/>
          <w:szCs w:val="22"/>
        </w:rPr>
        <w:t xml:space="preserve"> Policy</w:t>
      </w:r>
      <w:r w:rsidRPr="00415DAC">
        <w:rPr>
          <w:rFonts w:ascii="Calibri" w:hAnsi="Calibri" w:cs="Calibri"/>
          <w:sz w:val="22"/>
          <w:szCs w:val="22"/>
        </w:rPr>
        <w:br/>
      </w:r>
      <w:r w:rsidRPr="00415DAC">
        <w:rPr>
          <w:rStyle w:val="Strong"/>
          <w:rFonts w:ascii="Calibri" w:hAnsi="Calibri" w:cs="Calibri"/>
          <w:sz w:val="22"/>
          <w:szCs w:val="22"/>
        </w:rPr>
        <w:t>Adopted on:</w:t>
      </w:r>
      <w:r w:rsidRPr="00415DAC">
        <w:rPr>
          <w:rFonts w:ascii="Calibri" w:hAnsi="Calibri" w:cs="Calibri"/>
          <w:sz w:val="22"/>
          <w:szCs w:val="22"/>
        </w:rPr>
        <w:t xml:space="preserve"> 29</w:t>
      </w:r>
      <w:r w:rsidRPr="00415DAC">
        <w:rPr>
          <w:rFonts w:ascii="Calibri" w:hAnsi="Calibri" w:cs="Calibri"/>
          <w:sz w:val="22"/>
          <w:szCs w:val="22"/>
          <w:vertAlign w:val="superscript"/>
        </w:rPr>
        <w:t>th</w:t>
      </w:r>
      <w:r w:rsidRPr="00415DAC">
        <w:rPr>
          <w:rFonts w:ascii="Calibri" w:hAnsi="Calibri" w:cs="Calibri"/>
          <w:sz w:val="22"/>
          <w:szCs w:val="22"/>
        </w:rPr>
        <w:t xml:space="preserve"> November 2025</w:t>
      </w:r>
      <w:r w:rsidRPr="00415DAC">
        <w:rPr>
          <w:rFonts w:ascii="Calibri" w:hAnsi="Calibri" w:cs="Calibri"/>
          <w:sz w:val="22"/>
          <w:szCs w:val="22"/>
        </w:rPr>
        <w:br/>
      </w:r>
      <w:r w:rsidRPr="00415DAC">
        <w:rPr>
          <w:rStyle w:val="Strong"/>
          <w:rFonts w:ascii="Calibri" w:hAnsi="Calibri" w:cs="Calibri"/>
          <w:sz w:val="22"/>
          <w:szCs w:val="22"/>
        </w:rPr>
        <w:t>Review date:</w:t>
      </w:r>
      <w:r w:rsidRPr="00415DAC">
        <w:rPr>
          <w:rFonts w:ascii="Calibri" w:hAnsi="Calibri" w:cs="Calibri"/>
          <w:sz w:val="22"/>
          <w:szCs w:val="22"/>
        </w:rPr>
        <w:t xml:space="preserve"> November 2026</w:t>
      </w:r>
    </w:p>
    <w:p w14:paraId="2CECACBA" w14:textId="77777777" w:rsidR="00E270F2" w:rsidRPr="00415DAC" w:rsidRDefault="00E270F2" w:rsidP="00E270F2">
      <w:pPr>
        <w:rPr>
          <w:rFonts w:ascii="Calibri" w:hAnsi="Calibri" w:cs="Calibri"/>
          <w:sz w:val="22"/>
          <w:szCs w:val="22"/>
        </w:rPr>
      </w:pPr>
    </w:p>
    <w:p w14:paraId="2E78D437" w14:textId="1CD3EF8A" w:rsidR="00E270F2" w:rsidRPr="00415DAC" w:rsidRDefault="00415DAC" w:rsidP="007376E7">
      <w:pPr>
        <w:pStyle w:val="p1"/>
        <w:rPr>
          <w:rFonts w:ascii="Calibri" w:hAnsi="Calibri" w:cs="Calibri"/>
          <w:sz w:val="22"/>
          <w:szCs w:val="22"/>
        </w:rPr>
      </w:pPr>
      <w:r w:rsidRPr="00415DAC">
        <w:rPr>
          <w:rStyle w:val="s1"/>
          <w:rFonts w:ascii="Calibri" w:hAnsi="Calibri" w:cs="Calibri"/>
          <w:b/>
          <w:bCs/>
          <w:sz w:val="22"/>
          <w:szCs w:val="22"/>
        </w:rPr>
        <w:t>Purpose:</w:t>
      </w:r>
    </w:p>
    <w:p w14:paraId="6C720E2E" w14:textId="04F20799" w:rsidR="00E270F2" w:rsidRPr="00415DAC" w:rsidRDefault="007376E7" w:rsidP="002F0A07">
      <w:pPr>
        <w:pStyle w:val="p1"/>
        <w:rPr>
          <w:rFonts w:ascii="Calibri" w:hAnsi="Calibri" w:cs="Calibri"/>
          <w:sz w:val="22"/>
          <w:szCs w:val="22"/>
        </w:rPr>
      </w:pPr>
      <w:r w:rsidRPr="00415DAC">
        <w:rPr>
          <w:rStyle w:val="s2"/>
          <w:rFonts w:ascii="Calibri" w:hAnsi="Calibri" w:cs="Calibri"/>
          <w:sz w:val="22"/>
          <w:szCs w:val="22"/>
        </w:rPr>
        <w:br/>
      </w:r>
      <w:r w:rsidR="00E270F2" w:rsidRPr="00415DAC">
        <w:rPr>
          <w:rStyle w:val="s2"/>
          <w:rFonts w:ascii="Calibri" w:hAnsi="Calibri" w:cs="Calibri"/>
          <w:sz w:val="22"/>
          <w:szCs w:val="22"/>
        </w:rPr>
        <w:t xml:space="preserve">The Florence Foundation recognises that the strength and effectiveness of the charity </w:t>
      </w:r>
      <w:r w:rsidR="00415DAC" w:rsidRPr="00415DAC">
        <w:rPr>
          <w:rStyle w:val="s2"/>
          <w:rFonts w:ascii="Calibri" w:hAnsi="Calibri" w:cs="Calibri"/>
          <w:sz w:val="22"/>
          <w:szCs w:val="22"/>
        </w:rPr>
        <w:t>depend</w:t>
      </w:r>
      <w:r w:rsidR="00E270F2" w:rsidRPr="00415DAC">
        <w:rPr>
          <w:rStyle w:val="s2"/>
          <w:rFonts w:ascii="Calibri" w:hAnsi="Calibri" w:cs="Calibri"/>
          <w:sz w:val="22"/>
          <w:szCs w:val="22"/>
        </w:rPr>
        <w:t xml:space="preserve"> upon having a diverse and skilled Board of Trustees. To ensure good governance, transparency and continuity, the charity has adopted the following approach to recruiting and appointing new trustees.</w:t>
      </w:r>
      <w:r w:rsidR="00415DAC">
        <w:rPr>
          <w:rStyle w:val="s2"/>
          <w:rFonts w:ascii="Calibri" w:hAnsi="Calibri" w:cs="Calibri"/>
          <w:sz w:val="22"/>
          <w:szCs w:val="22"/>
        </w:rPr>
        <w:br/>
      </w:r>
      <w:r w:rsidR="00415DAC">
        <w:rPr>
          <w:rStyle w:val="s2"/>
          <w:rFonts w:ascii="Calibri" w:hAnsi="Calibri" w:cs="Calibri"/>
          <w:sz w:val="22"/>
          <w:szCs w:val="22"/>
        </w:rPr>
        <w:br/>
      </w:r>
      <w:r w:rsidR="00415DAC" w:rsidRPr="00415DAC">
        <w:rPr>
          <w:rStyle w:val="s2"/>
          <w:rFonts w:ascii="Calibri" w:hAnsi="Calibri" w:cs="Calibri"/>
          <w:b/>
          <w:bCs/>
          <w:sz w:val="22"/>
          <w:szCs w:val="22"/>
        </w:rPr>
        <w:t>Process:</w:t>
      </w:r>
    </w:p>
    <w:p w14:paraId="6E96F07F" w14:textId="77777777" w:rsidR="00E270F2" w:rsidRPr="00415DAC" w:rsidRDefault="00E270F2" w:rsidP="002F0A07">
      <w:pPr>
        <w:pStyle w:val="p1"/>
        <w:rPr>
          <w:rFonts w:ascii="Calibri" w:hAnsi="Calibri" w:cs="Calibri"/>
          <w:sz w:val="22"/>
          <w:szCs w:val="22"/>
        </w:rPr>
      </w:pPr>
      <w:r w:rsidRPr="00415DAC">
        <w:rPr>
          <w:rStyle w:val="s2"/>
          <w:rFonts w:ascii="Calibri" w:hAnsi="Calibri" w:cs="Calibri"/>
          <w:sz w:val="22"/>
          <w:szCs w:val="22"/>
        </w:rPr>
        <w:t>When a vacancy arises, the Board will undertake a review of the current skills and experience represented within the trustee group. This “skills audit” will help identify gaps in knowledge or expertise that would strengthen the charity’s ability to meet its objectives. In particular, the Foundation values skills in areas such as charity governance, financial management, fundraising, communications, safeguarding, animal welfare, and community engagement with vulnerable groups.</w:t>
      </w:r>
    </w:p>
    <w:p w14:paraId="2F9526A8" w14:textId="77777777" w:rsidR="00E270F2" w:rsidRPr="00415DAC" w:rsidRDefault="00E270F2" w:rsidP="002F0A07">
      <w:pPr>
        <w:pStyle w:val="p1"/>
        <w:rPr>
          <w:rFonts w:ascii="Calibri" w:hAnsi="Calibri" w:cs="Calibri"/>
          <w:sz w:val="22"/>
          <w:szCs w:val="22"/>
        </w:rPr>
      </w:pPr>
      <w:r w:rsidRPr="00415DAC">
        <w:rPr>
          <w:rStyle w:val="s2"/>
          <w:rFonts w:ascii="Calibri" w:hAnsi="Calibri" w:cs="Calibri"/>
          <w:sz w:val="22"/>
          <w:szCs w:val="22"/>
        </w:rPr>
        <w:t>Trustee opportunities will be advertised openly where appropriate, and the Foundation will seek to attract candidates from a wide range of backgrounds to ensure diversity of thought and representation. Informal expressions of interest may also be considered, provided the candidate meets the required skills and commitment standards. All prospective trustees will be provided with clear information about the role and responsibilities of charity trustees, as set out by the Charity Commission.</w:t>
      </w:r>
    </w:p>
    <w:p w14:paraId="07F8D1E0" w14:textId="77777777" w:rsidR="00E270F2" w:rsidRPr="00415DAC" w:rsidRDefault="00E270F2" w:rsidP="002F0A07">
      <w:pPr>
        <w:pStyle w:val="p1"/>
        <w:rPr>
          <w:rFonts w:ascii="Calibri" w:hAnsi="Calibri" w:cs="Calibri"/>
          <w:sz w:val="22"/>
          <w:szCs w:val="22"/>
        </w:rPr>
      </w:pPr>
      <w:r w:rsidRPr="00415DAC">
        <w:rPr>
          <w:rStyle w:val="s2"/>
          <w:rFonts w:ascii="Calibri" w:hAnsi="Calibri" w:cs="Calibri"/>
          <w:sz w:val="22"/>
          <w:szCs w:val="22"/>
        </w:rPr>
        <w:t>Applicants will normally be invited for an informal discussion with existing trustees to assess their suitability, alignment with the Foundation’s values, and capacity to contribute effectively. References may be sought where relevant. Formal appointment will be confirmed by resolution of the Board, and all new trustees will complete the statutory declarations required under charity law.</w:t>
      </w:r>
    </w:p>
    <w:p w14:paraId="6F9845DB" w14:textId="77777777" w:rsidR="00E270F2" w:rsidRPr="00415DAC" w:rsidRDefault="00E270F2" w:rsidP="002F0A07">
      <w:pPr>
        <w:pStyle w:val="p1"/>
        <w:rPr>
          <w:rStyle w:val="s2"/>
          <w:rFonts w:ascii="Calibri" w:hAnsi="Calibri" w:cs="Calibri"/>
          <w:sz w:val="22"/>
          <w:szCs w:val="22"/>
        </w:rPr>
      </w:pPr>
      <w:r w:rsidRPr="00415DAC">
        <w:rPr>
          <w:rStyle w:val="s2"/>
          <w:rFonts w:ascii="Calibri" w:hAnsi="Calibri" w:cs="Calibri"/>
          <w:sz w:val="22"/>
          <w:szCs w:val="22"/>
        </w:rPr>
        <w:t>To support effective induction, new trustees will be provided with an introduction to the charity’s work, governance policies, and current priorities. Ongoing training and development will be encouraged to maintain high standards of governance and to ensure the Board continues to act in the best interests of the charity and its beneficiaries.</w:t>
      </w:r>
    </w:p>
    <w:p w14:paraId="24C000A7" w14:textId="77777777" w:rsidR="00E270F2" w:rsidRDefault="00E270F2" w:rsidP="00E270F2">
      <w:pPr>
        <w:rPr>
          <w:rFonts w:ascii="Calibri" w:hAnsi="Calibri" w:cs="Calibri"/>
          <w:sz w:val="22"/>
          <w:szCs w:val="22"/>
        </w:rPr>
      </w:pPr>
    </w:p>
    <w:p w14:paraId="1E208E3C" w14:textId="77777777" w:rsidR="00415DAC" w:rsidRDefault="00415DAC" w:rsidP="00415DAC">
      <w:pPr>
        <w:pStyle w:val="NormalWeb"/>
        <w:rPr>
          <w:rStyle w:val="Strong"/>
          <w:rFonts w:asciiTheme="minorHAnsi" w:eastAsiaTheme="majorEastAsia" w:hAnsiTheme="minorHAnsi" w:cstheme="minorHAnsi"/>
          <w:sz w:val="22"/>
          <w:szCs w:val="22"/>
        </w:rPr>
      </w:pPr>
      <w:r w:rsidRPr="00CF7737">
        <w:rPr>
          <w:rStyle w:val="Strong"/>
          <w:rFonts w:asciiTheme="minorHAnsi" w:eastAsiaTheme="majorEastAsia" w:hAnsiTheme="minorHAnsi" w:cstheme="minorHAnsi"/>
          <w:sz w:val="22"/>
          <w:szCs w:val="22"/>
        </w:rPr>
        <w:t>Signed:</w:t>
      </w:r>
    </w:p>
    <w:p w14:paraId="61FD5E33" w14:textId="77777777" w:rsidR="00415DAC" w:rsidRPr="00CF7737" w:rsidRDefault="00415DAC" w:rsidP="00415DAC">
      <w:pPr>
        <w:pStyle w:val="NormalWeb"/>
        <w:rPr>
          <w:rFonts w:asciiTheme="minorHAnsi" w:hAnsiTheme="minorHAnsi" w:cstheme="minorHAnsi"/>
          <w:sz w:val="22"/>
          <w:szCs w:val="22"/>
        </w:rPr>
      </w:pPr>
      <w:r w:rsidRPr="00CF7737">
        <w:rPr>
          <w:rFonts w:asciiTheme="minorHAnsi" w:hAnsiTheme="minorHAnsi" w:cstheme="minorHAnsi"/>
          <w:sz w:val="22"/>
          <w:szCs w:val="22"/>
        </w:rPr>
        <w:br/>
        <w:t xml:space="preserve">Chair of Trustees: </w:t>
      </w:r>
      <w:r>
        <w:rPr>
          <w:rFonts w:asciiTheme="minorHAnsi" w:hAnsiTheme="minorHAnsi" w:cstheme="minorHAnsi"/>
          <w:sz w:val="22"/>
          <w:szCs w:val="22"/>
        </w:rPr>
        <w:t>PETER PRITCHARD</w:t>
      </w:r>
      <w:r w:rsidRPr="00CF7737">
        <w:rPr>
          <w:rFonts w:asciiTheme="minorHAnsi" w:hAnsiTheme="minorHAnsi" w:cstheme="minorHAnsi"/>
          <w:sz w:val="22"/>
          <w:szCs w:val="22"/>
        </w:rPr>
        <w:br/>
        <w:t>Date: __ / __ / ___</w:t>
      </w:r>
    </w:p>
    <w:p w14:paraId="6D778B1B" w14:textId="77777777" w:rsidR="00415DAC" w:rsidRPr="00415DAC" w:rsidRDefault="00415DAC" w:rsidP="00E270F2">
      <w:pPr>
        <w:rPr>
          <w:rFonts w:ascii="Calibri" w:hAnsi="Calibri" w:cs="Calibri"/>
          <w:sz w:val="22"/>
          <w:szCs w:val="22"/>
        </w:rPr>
      </w:pPr>
    </w:p>
    <w:p w14:paraId="507D7E7A" w14:textId="77777777" w:rsidR="00C5438C" w:rsidRPr="00415DAC" w:rsidRDefault="00C5438C" w:rsidP="00E270F2">
      <w:pPr>
        <w:rPr>
          <w:rFonts w:ascii="Calibri" w:hAnsi="Calibri" w:cs="Calibri"/>
          <w:sz w:val="22"/>
          <w:szCs w:val="22"/>
        </w:rPr>
      </w:pPr>
    </w:p>
    <w:p w14:paraId="70580EEA" w14:textId="5E226CA7" w:rsidR="00C5438C" w:rsidRPr="00415DAC" w:rsidRDefault="00C5438C" w:rsidP="00E270F2">
      <w:pPr>
        <w:rPr>
          <w:rFonts w:ascii="Calibri" w:hAnsi="Calibri" w:cs="Calibri"/>
          <w:sz w:val="22"/>
          <w:szCs w:val="22"/>
        </w:rPr>
      </w:pPr>
    </w:p>
    <w:p w14:paraId="69AF389A" w14:textId="77777777" w:rsidR="00C5438C" w:rsidRPr="00415DAC" w:rsidRDefault="00C5438C">
      <w:pPr>
        <w:rPr>
          <w:rFonts w:ascii="Calibri" w:hAnsi="Calibri" w:cs="Calibri"/>
          <w:sz w:val="22"/>
          <w:szCs w:val="22"/>
        </w:rPr>
      </w:pPr>
      <w:r w:rsidRPr="00415DAC">
        <w:rPr>
          <w:rFonts w:ascii="Calibri" w:hAnsi="Calibri" w:cs="Calibri"/>
          <w:sz w:val="22"/>
          <w:szCs w:val="22"/>
        </w:rPr>
        <w:br w:type="page"/>
      </w:r>
    </w:p>
    <w:p w14:paraId="7DDFB581" w14:textId="666782B2" w:rsidR="00C5438C" w:rsidRPr="00415DAC" w:rsidRDefault="00C5438C" w:rsidP="0008764F">
      <w:pPr>
        <w:pStyle w:val="p1"/>
        <w:divId w:val="35352705"/>
        <w:rPr>
          <w:rFonts w:ascii="Calibri" w:hAnsi="Calibri" w:cs="Calibri"/>
          <w:b/>
          <w:bCs/>
          <w:sz w:val="22"/>
          <w:szCs w:val="22"/>
          <w:u w:val="single"/>
        </w:rPr>
      </w:pPr>
      <w:r w:rsidRPr="00415DAC">
        <w:rPr>
          <w:rStyle w:val="s1"/>
          <w:rFonts w:ascii="Calibri" w:hAnsi="Calibri" w:cs="Calibri"/>
          <w:b/>
          <w:bCs/>
          <w:sz w:val="22"/>
          <w:szCs w:val="22"/>
          <w:u w:val="single"/>
        </w:rPr>
        <w:lastRenderedPageBreak/>
        <w:t>Appendix: Trustee Skills Matrix</w:t>
      </w:r>
    </w:p>
    <w:p w14:paraId="0A4318EB" w14:textId="2AABF825" w:rsidR="00C5438C" w:rsidRPr="00415DAC" w:rsidRDefault="00C5438C">
      <w:pPr>
        <w:pStyle w:val="p1"/>
        <w:divId w:val="35352705"/>
        <w:rPr>
          <w:rStyle w:val="s2"/>
          <w:rFonts w:ascii="Calibri" w:hAnsi="Calibri" w:cs="Calibri"/>
          <w:sz w:val="22"/>
          <w:szCs w:val="22"/>
        </w:rPr>
      </w:pPr>
      <w:r w:rsidRPr="00415DAC">
        <w:rPr>
          <w:rStyle w:val="s2"/>
          <w:rFonts w:ascii="Calibri" w:hAnsi="Calibri" w:cs="Calibri"/>
          <w:sz w:val="22"/>
          <w:szCs w:val="22"/>
        </w:rPr>
        <w:t>The Florence Foundation seeks to ensure that the Board of Trustees collectively possesses the skills, knowledge, and experience necessary to govern effectively and support the charity’s mission. The following table illustrates the key areas of expertise the Board aims to maintain</w:t>
      </w:r>
      <w:r w:rsidR="007124D6" w:rsidRPr="00415DAC">
        <w:rPr>
          <w:rStyle w:val="s2"/>
          <w:rFonts w:ascii="Calibri" w:hAnsi="Calibri" w:cs="Calibri"/>
          <w:sz w:val="22"/>
          <w:szCs w:val="22"/>
        </w:rPr>
        <w:t>:</w:t>
      </w:r>
    </w:p>
    <w:tbl>
      <w:tblPr>
        <w:tblStyle w:val="PlainTable2"/>
        <w:tblW w:w="0" w:type="auto"/>
        <w:tblLook w:val="04A0" w:firstRow="1" w:lastRow="0" w:firstColumn="1" w:lastColumn="0" w:noHBand="0" w:noVBand="1"/>
      </w:tblPr>
      <w:tblGrid>
        <w:gridCol w:w="4344"/>
        <w:gridCol w:w="4344"/>
      </w:tblGrid>
      <w:tr w:rsidR="003702D3" w:rsidRPr="00415DAC" w14:paraId="7FB5F895" w14:textId="77777777" w:rsidTr="004B0CE9">
        <w:trPr>
          <w:cnfStyle w:val="100000000000" w:firstRow="1" w:lastRow="0" w:firstColumn="0" w:lastColumn="0" w:oddVBand="0" w:evenVBand="0" w:oddHBand="0" w:evenHBand="0" w:firstRowFirstColumn="0" w:firstRowLastColumn="0" w:lastRowFirstColumn="0" w:lastRowLastColumn="0"/>
          <w:divId w:val="35352705"/>
          <w:trHeight w:val="297"/>
        </w:trPr>
        <w:tc>
          <w:tcPr>
            <w:cnfStyle w:val="001000000000" w:firstRow="0" w:lastRow="0" w:firstColumn="1" w:lastColumn="0" w:oddVBand="0" w:evenVBand="0" w:oddHBand="0" w:evenHBand="0" w:firstRowFirstColumn="0" w:firstRowLastColumn="0" w:lastRowFirstColumn="0" w:lastRowLastColumn="0"/>
            <w:tcW w:w="4344" w:type="dxa"/>
          </w:tcPr>
          <w:p w14:paraId="6813A65A" w14:textId="6255CC33" w:rsidR="003702D3" w:rsidRPr="00415DAC" w:rsidRDefault="003702D3">
            <w:pPr>
              <w:pStyle w:val="p1"/>
              <w:rPr>
                <w:rStyle w:val="s2"/>
                <w:rFonts w:ascii="Calibri" w:hAnsi="Calibri" w:cs="Calibri"/>
                <w:sz w:val="22"/>
                <w:szCs w:val="22"/>
              </w:rPr>
            </w:pPr>
            <w:r w:rsidRPr="00415DAC">
              <w:rPr>
                <w:rStyle w:val="s2"/>
                <w:rFonts w:ascii="Calibri" w:hAnsi="Calibri" w:cs="Calibri"/>
                <w:sz w:val="22"/>
                <w:szCs w:val="22"/>
              </w:rPr>
              <w:t>Skill / Experience Area</w:t>
            </w:r>
          </w:p>
        </w:tc>
        <w:tc>
          <w:tcPr>
            <w:tcW w:w="4344" w:type="dxa"/>
          </w:tcPr>
          <w:p w14:paraId="54E1CB7F" w14:textId="441FED86" w:rsidR="003702D3" w:rsidRPr="00415DAC" w:rsidRDefault="003702D3">
            <w:pPr>
              <w:pStyle w:val="p1"/>
              <w:cnfStyle w:val="100000000000" w:firstRow="1" w:lastRow="0" w:firstColumn="0" w:lastColumn="0" w:oddVBand="0" w:evenVBand="0" w:oddHBand="0" w:evenHBand="0" w:firstRowFirstColumn="0" w:firstRowLastColumn="0" w:lastRowFirstColumn="0" w:lastRowLastColumn="0"/>
              <w:rPr>
                <w:rStyle w:val="s2"/>
                <w:rFonts w:ascii="Calibri" w:hAnsi="Calibri" w:cs="Calibri"/>
                <w:sz w:val="22"/>
                <w:szCs w:val="22"/>
              </w:rPr>
            </w:pPr>
            <w:r w:rsidRPr="00415DAC">
              <w:rPr>
                <w:rStyle w:val="s2"/>
                <w:rFonts w:ascii="Calibri" w:hAnsi="Calibri" w:cs="Calibri"/>
                <w:sz w:val="22"/>
                <w:szCs w:val="22"/>
              </w:rPr>
              <w:t>Purpose / Relevance</w:t>
            </w:r>
          </w:p>
        </w:tc>
      </w:tr>
      <w:tr w:rsidR="003702D3" w:rsidRPr="00415DAC" w14:paraId="66718B09" w14:textId="77777777" w:rsidTr="004B0CE9">
        <w:trPr>
          <w:cnfStyle w:val="000000100000" w:firstRow="0" w:lastRow="0" w:firstColumn="0" w:lastColumn="0" w:oddVBand="0" w:evenVBand="0" w:oddHBand="1" w:evenHBand="0" w:firstRowFirstColumn="0" w:firstRowLastColumn="0" w:lastRowFirstColumn="0" w:lastRowLastColumn="0"/>
          <w:divId w:val="35352705"/>
          <w:trHeight w:val="297"/>
        </w:trPr>
        <w:tc>
          <w:tcPr>
            <w:cnfStyle w:val="001000000000" w:firstRow="0" w:lastRow="0" w:firstColumn="1" w:lastColumn="0" w:oddVBand="0" w:evenVBand="0" w:oddHBand="0" w:evenHBand="0" w:firstRowFirstColumn="0" w:firstRowLastColumn="0" w:lastRowFirstColumn="0" w:lastRowLastColumn="0"/>
            <w:tcW w:w="4344" w:type="dxa"/>
          </w:tcPr>
          <w:p w14:paraId="030E63CB" w14:textId="77777777" w:rsidR="003702D3" w:rsidRPr="00415DAC" w:rsidRDefault="003702D3">
            <w:pPr>
              <w:pStyle w:val="p1"/>
              <w:rPr>
                <w:rStyle w:val="s2"/>
                <w:rFonts w:ascii="Calibri" w:hAnsi="Calibri" w:cs="Calibri"/>
                <w:sz w:val="22"/>
                <w:szCs w:val="22"/>
              </w:rPr>
            </w:pPr>
          </w:p>
        </w:tc>
        <w:tc>
          <w:tcPr>
            <w:tcW w:w="4344" w:type="dxa"/>
          </w:tcPr>
          <w:p w14:paraId="5A17195E" w14:textId="77777777" w:rsidR="003702D3" w:rsidRPr="00415DAC" w:rsidRDefault="003702D3">
            <w:pPr>
              <w:pStyle w:val="p1"/>
              <w:cnfStyle w:val="000000100000" w:firstRow="0" w:lastRow="0" w:firstColumn="0" w:lastColumn="0" w:oddVBand="0" w:evenVBand="0" w:oddHBand="1" w:evenHBand="0" w:firstRowFirstColumn="0" w:firstRowLastColumn="0" w:lastRowFirstColumn="0" w:lastRowLastColumn="0"/>
              <w:rPr>
                <w:rStyle w:val="s2"/>
                <w:rFonts w:ascii="Calibri" w:hAnsi="Calibri" w:cs="Calibri"/>
                <w:sz w:val="22"/>
                <w:szCs w:val="22"/>
              </w:rPr>
            </w:pPr>
          </w:p>
        </w:tc>
      </w:tr>
      <w:tr w:rsidR="003702D3" w:rsidRPr="00415DAC" w14:paraId="56095094" w14:textId="77777777" w:rsidTr="001D6591">
        <w:trPr>
          <w:divId w:val="35352705"/>
          <w:trHeight w:val="688"/>
        </w:trPr>
        <w:tc>
          <w:tcPr>
            <w:cnfStyle w:val="001000000000" w:firstRow="0" w:lastRow="0" w:firstColumn="1" w:lastColumn="0" w:oddVBand="0" w:evenVBand="0" w:oddHBand="0" w:evenHBand="0" w:firstRowFirstColumn="0" w:firstRowLastColumn="0" w:lastRowFirstColumn="0" w:lastRowLastColumn="0"/>
            <w:tcW w:w="4344" w:type="dxa"/>
          </w:tcPr>
          <w:p w14:paraId="2CEFD387" w14:textId="7754DADE" w:rsidR="003702D3" w:rsidRPr="00415DAC" w:rsidRDefault="003702D3">
            <w:pPr>
              <w:pStyle w:val="p1"/>
              <w:rPr>
                <w:rStyle w:val="s2"/>
                <w:rFonts w:ascii="Calibri" w:hAnsi="Calibri" w:cs="Calibri"/>
                <w:b w:val="0"/>
                <w:bCs w:val="0"/>
                <w:sz w:val="22"/>
                <w:szCs w:val="22"/>
              </w:rPr>
            </w:pPr>
            <w:r w:rsidRPr="00415DAC">
              <w:rPr>
                <w:rFonts w:ascii="Calibri" w:hAnsi="Calibri" w:cs="Calibri"/>
                <w:b w:val="0"/>
                <w:bCs w:val="0"/>
                <w:sz w:val="22"/>
                <w:szCs w:val="22"/>
              </w:rPr>
              <w:t>Charity Governance &amp; Compliance</w:t>
            </w:r>
          </w:p>
        </w:tc>
        <w:tc>
          <w:tcPr>
            <w:tcW w:w="4344" w:type="dxa"/>
          </w:tcPr>
          <w:p w14:paraId="0792B42B" w14:textId="6D2A8102" w:rsidR="003702D3" w:rsidRPr="00415DAC" w:rsidRDefault="003702D3">
            <w:pPr>
              <w:pStyle w:val="p1"/>
              <w:cnfStyle w:val="000000000000" w:firstRow="0" w:lastRow="0" w:firstColumn="0" w:lastColumn="0" w:oddVBand="0" w:evenVBand="0" w:oddHBand="0" w:evenHBand="0" w:firstRowFirstColumn="0" w:firstRowLastColumn="0" w:lastRowFirstColumn="0" w:lastRowLastColumn="0"/>
              <w:rPr>
                <w:rStyle w:val="s2"/>
                <w:rFonts w:ascii="Calibri" w:hAnsi="Calibri" w:cs="Calibri"/>
                <w:sz w:val="22"/>
                <w:szCs w:val="22"/>
              </w:rPr>
            </w:pPr>
            <w:r w:rsidRPr="00415DAC">
              <w:rPr>
                <w:rFonts w:ascii="Calibri" w:hAnsi="Calibri" w:cs="Calibri"/>
                <w:sz w:val="22"/>
                <w:szCs w:val="22"/>
              </w:rPr>
              <w:t>Ensures trustees understand legal duties, regulatory requirements, and good governance practice.</w:t>
            </w:r>
          </w:p>
        </w:tc>
      </w:tr>
      <w:tr w:rsidR="004B0CE9" w:rsidRPr="00415DAC" w14:paraId="15BA6B2E" w14:textId="77777777" w:rsidTr="001D6591">
        <w:trPr>
          <w:cnfStyle w:val="000000100000" w:firstRow="0" w:lastRow="0" w:firstColumn="0" w:lastColumn="0" w:oddVBand="0" w:evenVBand="0" w:oddHBand="1" w:evenHBand="0" w:firstRowFirstColumn="0" w:firstRowLastColumn="0" w:lastRowFirstColumn="0" w:lastRowLastColumn="0"/>
          <w:divId w:val="35352705"/>
          <w:trHeight w:val="698"/>
        </w:trPr>
        <w:tc>
          <w:tcPr>
            <w:cnfStyle w:val="001000000000" w:firstRow="0" w:lastRow="0" w:firstColumn="1" w:lastColumn="0" w:oddVBand="0" w:evenVBand="0" w:oddHBand="0" w:evenHBand="0" w:firstRowFirstColumn="0" w:firstRowLastColumn="0" w:lastRowFirstColumn="0" w:lastRowLastColumn="0"/>
            <w:tcW w:w="4344" w:type="dxa"/>
          </w:tcPr>
          <w:p w14:paraId="36752207" w14:textId="2376B927" w:rsidR="004B0CE9" w:rsidRPr="00415DAC" w:rsidRDefault="004B0CE9">
            <w:pPr>
              <w:pStyle w:val="p1"/>
              <w:rPr>
                <w:rFonts w:ascii="Calibri" w:hAnsi="Calibri" w:cs="Calibri"/>
                <w:b w:val="0"/>
                <w:bCs w:val="0"/>
                <w:sz w:val="22"/>
                <w:szCs w:val="22"/>
              </w:rPr>
            </w:pPr>
            <w:r w:rsidRPr="00415DAC">
              <w:rPr>
                <w:rFonts w:ascii="Calibri" w:hAnsi="Calibri" w:cs="Calibri"/>
                <w:b w:val="0"/>
                <w:bCs w:val="0"/>
                <w:sz w:val="22"/>
                <w:szCs w:val="22"/>
              </w:rPr>
              <w:t>Financial Management &amp; Audit</w:t>
            </w:r>
          </w:p>
        </w:tc>
        <w:tc>
          <w:tcPr>
            <w:tcW w:w="4344" w:type="dxa"/>
          </w:tcPr>
          <w:p w14:paraId="46A7281B" w14:textId="73205CCB" w:rsidR="004B0CE9" w:rsidRPr="00415DAC" w:rsidRDefault="004B0CE9">
            <w:pPr>
              <w:pStyle w:val="p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15DAC">
              <w:rPr>
                <w:rFonts w:ascii="Calibri" w:hAnsi="Calibri" w:cs="Calibri"/>
                <w:sz w:val="22"/>
                <w:szCs w:val="22"/>
              </w:rPr>
              <w:t>Supports robust financial oversight, budgeting, and accountability.</w:t>
            </w:r>
          </w:p>
        </w:tc>
      </w:tr>
      <w:tr w:rsidR="004B0CE9" w:rsidRPr="00415DAC" w14:paraId="15456AD6" w14:textId="77777777" w:rsidTr="001D6591">
        <w:trPr>
          <w:divId w:val="35352705"/>
          <w:trHeight w:val="708"/>
        </w:trPr>
        <w:tc>
          <w:tcPr>
            <w:cnfStyle w:val="001000000000" w:firstRow="0" w:lastRow="0" w:firstColumn="1" w:lastColumn="0" w:oddVBand="0" w:evenVBand="0" w:oddHBand="0" w:evenHBand="0" w:firstRowFirstColumn="0" w:firstRowLastColumn="0" w:lastRowFirstColumn="0" w:lastRowLastColumn="0"/>
            <w:tcW w:w="4344" w:type="dxa"/>
          </w:tcPr>
          <w:p w14:paraId="20668D28" w14:textId="2434658D" w:rsidR="004B0CE9" w:rsidRPr="00415DAC" w:rsidRDefault="00466DB3">
            <w:pPr>
              <w:pStyle w:val="p1"/>
              <w:rPr>
                <w:rFonts w:ascii="Calibri" w:hAnsi="Calibri" w:cs="Calibri"/>
                <w:b w:val="0"/>
                <w:bCs w:val="0"/>
                <w:sz w:val="22"/>
                <w:szCs w:val="22"/>
              </w:rPr>
            </w:pPr>
            <w:r w:rsidRPr="00415DAC">
              <w:rPr>
                <w:rFonts w:ascii="Calibri" w:hAnsi="Calibri" w:cs="Calibri"/>
                <w:b w:val="0"/>
                <w:bCs w:val="0"/>
                <w:sz w:val="22"/>
                <w:szCs w:val="22"/>
              </w:rPr>
              <w:t>Fundraising &amp; Income Generation</w:t>
            </w:r>
          </w:p>
        </w:tc>
        <w:tc>
          <w:tcPr>
            <w:tcW w:w="4344" w:type="dxa"/>
          </w:tcPr>
          <w:p w14:paraId="1942084E" w14:textId="00FB6546" w:rsidR="004B0CE9" w:rsidRPr="00415DAC" w:rsidRDefault="00466DB3">
            <w:pPr>
              <w:pStyle w:val="p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15DAC">
              <w:rPr>
                <w:rFonts w:ascii="Calibri" w:hAnsi="Calibri" w:cs="Calibri"/>
                <w:sz w:val="22"/>
                <w:szCs w:val="22"/>
              </w:rPr>
              <w:t>Guides income diversification and sustainability of activities.</w:t>
            </w:r>
          </w:p>
        </w:tc>
      </w:tr>
      <w:tr w:rsidR="00466DB3" w:rsidRPr="00415DAC" w14:paraId="3F2EDCDB" w14:textId="77777777" w:rsidTr="001D6591">
        <w:trPr>
          <w:cnfStyle w:val="000000100000" w:firstRow="0" w:lastRow="0" w:firstColumn="0" w:lastColumn="0" w:oddVBand="0" w:evenVBand="0" w:oddHBand="1" w:evenHBand="0" w:firstRowFirstColumn="0" w:firstRowLastColumn="0" w:lastRowFirstColumn="0" w:lastRowLastColumn="0"/>
          <w:divId w:val="35352705"/>
          <w:trHeight w:val="690"/>
        </w:trPr>
        <w:tc>
          <w:tcPr>
            <w:cnfStyle w:val="001000000000" w:firstRow="0" w:lastRow="0" w:firstColumn="1" w:lastColumn="0" w:oddVBand="0" w:evenVBand="0" w:oddHBand="0" w:evenHBand="0" w:firstRowFirstColumn="0" w:firstRowLastColumn="0" w:lastRowFirstColumn="0" w:lastRowLastColumn="0"/>
            <w:tcW w:w="4344" w:type="dxa"/>
          </w:tcPr>
          <w:p w14:paraId="3769462B" w14:textId="215B8F6D" w:rsidR="00466DB3" w:rsidRPr="00415DAC" w:rsidRDefault="00FB04DF">
            <w:pPr>
              <w:pStyle w:val="p1"/>
              <w:rPr>
                <w:rFonts w:ascii="Calibri" w:hAnsi="Calibri" w:cs="Calibri"/>
                <w:b w:val="0"/>
                <w:bCs w:val="0"/>
                <w:sz w:val="22"/>
                <w:szCs w:val="22"/>
              </w:rPr>
            </w:pPr>
            <w:r w:rsidRPr="00415DAC">
              <w:rPr>
                <w:rFonts w:ascii="Calibri" w:hAnsi="Calibri" w:cs="Calibri"/>
                <w:b w:val="0"/>
                <w:bCs w:val="0"/>
                <w:sz w:val="22"/>
                <w:szCs w:val="22"/>
              </w:rPr>
              <w:t>Animal Welfare &amp; Care</w:t>
            </w:r>
          </w:p>
        </w:tc>
        <w:tc>
          <w:tcPr>
            <w:tcW w:w="4344" w:type="dxa"/>
          </w:tcPr>
          <w:p w14:paraId="5CB5A2AE" w14:textId="2B261253" w:rsidR="00466DB3" w:rsidRPr="00415DAC" w:rsidRDefault="00FB04DF">
            <w:pPr>
              <w:pStyle w:val="p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15DAC">
              <w:rPr>
                <w:rFonts w:ascii="Calibri" w:hAnsi="Calibri" w:cs="Calibri"/>
                <w:sz w:val="22"/>
                <w:szCs w:val="22"/>
              </w:rPr>
              <w:t>Provides insight into the charity’s mission to support animals in care.</w:t>
            </w:r>
          </w:p>
        </w:tc>
      </w:tr>
      <w:tr w:rsidR="00FB04DF" w:rsidRPr="00415DAC" w14:paraId="40ABE6A1" w14:textId="77777777" w:rsidTr="001D6591">
        <w:trPr>
          <w:divId w:val="35352705"/>
          <w:trHeight w:val="842"/>
        </w:trPr>
        <w:tc>
          <w:tcPr>
            <w:cnfStyle w:val="001000000000" w:firstRow="0" w:lastRow="0" w:firstColumn="1" w:lastColumn="0" w:oddVBand="0" w:evenVBand="0" w:oddHBand="0" w:evenHBand="0" w:firstRowFirstColumn="0" w:firstRowLastColumn="0" w:lastRowFirstColumn="0" w:lastRowLastColumn="0"/>
            <w:tcW w:w="4344" w:type="dxa"/>
          </w:tcPr>
          <w:p w14:paraId="4384E5AF" w14:textId="2608E7AB" w:rsidR="00FB04DF" w:rsidRPr="00415DAC" w:rsidRDefault="00FB04DF">
            <w:pPr>
              <w:pStyle w:val="p1"/>
              <w:rPr>
                <w:rFonts w:ascii="Calibri" w:hAnsi="Calibri" w:cs="Calibri"/>
                <w:b w:val="0"/>
                <w:bCs w:val="0"/>
                <w:sz w:val="22"/>
                <w:szCs w:val="22"/>
              </w:rPr>
            </w:pPr>
            <w:r w:rsidRPr="00415DAC">
              <w:rPr>
                <w:rFonts w:ascii="Calibri" w:hAnsi="Calibri" w:cs="Calibri"/>
                <w:b w:val="0"/>
                <w:bCs w:val="0"/>
                <w:sz w:val="22"/>
                <w:szCs w:val="22"/>
              </w:rPr>
              <w:t>Poverty &amp; Community Support</w:t>
            </w:r>
          </w:p>
        </w:tc>
        <w:tc>
          <w:tcPr>
            <w:tcW w:w="4344" w:type="dxa"/>
          </w:tcPr>
          <w:p w14:paraId="5C6C4550" w14:textId="4804C47A" w:rsidR="00FB04DF" w:rsidRPr="00415DAC" w:rsidRDefault="00FB04DF">
            <w:pPr>
              <w:pStyle w:val="p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15DAC">
              <w:rPr>
                <w:rFonts w:ascii="Calibri" w:hAnsi="Calibri" w:cs="Calibri"/>
                <w:sz w:val="22"/>
                <w:szCs w:val="22"/>
              </w:rPr>
              <w:t>Strengthens understanding of issues faced by people in crisis and the organisations supporting them.</w:t>
            </w:r>
          </w:p>
        </w:tc>
      </w:tr>
      <w:tr w:rsidR="005236B9" w:rsidRPr="00415DAC" w14:paraId="347EAF20" w14:textId="77777777" w:rsidTr="001D6591">
        <w:trPr>
          <w:cnfStyle w:val="000000100000" w:firstRow="0" w:lastRow="0" w:firstColumn="0" w:lastColumn="0" w:oddVBand="0" w:evenVBand="0" w:oddHBand="1" w:evenHBand="0" w:firstRowFirstColumn="0" w:firstRowLastColumn="0" w:lastRowFirstColumn="0" w:lastRowLastColumn="0"/>
          <w:divId w:val="35352705"/>
          <w:trHeight w:val="839"/>
        </w:trPr>
        <w:tc>
          <w:tcPr>
            <w:cnfStyle w:val="001000000000" w:firstRow="0" w:lastRow="0" w:firstColumn="1" w:lastColumn="0" w:oddVBand="0" w:evenVBand="0" w:oddHBand="0" w:evenHBand="0" w:firstRowFirstColumn="0" w:firstRowLastColumn="0" w:lastRowFirstColumn="0" w:lastRowLastColumn="0"/>
            <w:tcW w:w="4344" w:type="dxa"/>
          </w:tcPr>
          <w:p w14:paraId="4A6EF38F" w14:textId="7B112D39" w:rsidR="005236B9" w:rsidRPr="00415DAC" w:rsidRDefault="005236B9">
            <w:pPr>
              <w:pStyle w:val="p1"/>
              <w:rPr>
                <w:rFonts w:ascii="Calibri" w:hAnsi="Calibri" w:cs="Calibri"/>
                <w:b w:val="0"/>
                <w:bCs w:val="0"/>
                <w:sz w:val="22"/>
                <w:szCs w:val="22"/>
              </w:rPr>
            </w:pPr>
            <w:r w:rsidRPr="00415DAC">
              <w:rPr>
                <w:rFonts w:ascii="Calibri" w:hAnsi="Calibri" w:cs="Calibri"/>
                <w:b w:val="0"/>
                <w:bCs w:val="0"/>
                <w:sz w:val="22"/>
                <w:szCs w:val="22"/>
              </w:rPr>
              <w:t>Safeguarding &amp; Welfare</w:t>
            </w:r>
          </w:p>
        </w:tc>
        <w:tc>
          <w:tcPr>
            <w:tcW w:w="4344" w:type="dxa"/>
          </w:tcPr>
          <w:p w14:paraId="1D828D98" w14:textId="121735B5" w:rsidR="005236B9" w:rsidRPr="00415DAC" w:rsidRDefault="005236B9">
            <w:pPr>
              <w:pStyle w:val="p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15DAC">
              <w:rPr>
                <w:rFonts w:ascii="Calibri" w:hAnsi="Calibri" w:cs="Calibri"/>
                <w:sz w:val="22"/>
                <w:szCs w:val="22"/>
              </w:rPr>
              <w:t>Maintains best practice in protecting vulnerable beneficiaries.</w:t>
            </w:r>
          </w:p>
        </w:tc>
      </w:tr>
      <w:tr w:rsidR="005236B9" w:rsidRPr="00415DAC" w14:paraId="548B4689" w14:textId="77777777" w:rsidTr="001D6591">
        <w:trPr>
          <w:divId w:val="35352705"/>
          <w:trHeight w:val="838"/>
        </w:trPr>
        <w:tc>
          <w:tcPr>
            <w:cnfStyle w:val="001000000000" w:firstRow="0" w:lastRow="0" w:firstColumn="1" w:lastColumn="0" w:oddVBand="0" w:evenVBand="0" w:oddHBand="0" w:evenHBand="0" w:firstRowFirstColumn="0" w:firstRowLastColumn="0" w:lastRowFirstColumn="0" w:lastRowLastColumn="0"/>
            <w:tcW w:w="4344" w:type="dxa"/>
          </w:tcPr>
          <w:p w14:paraId="4FBD5C13" w14:textId="1258B1E6" w:rsidR="005236B9" w:rsidRPr="00415DAC" w:rsidRDefault="00C14494">
            <w:pPr>
              <w:pStyle w:val="p1"/>
              <w:rPr>
                <w:rFonts w:ascii="Calibri" w:hAnsi="Calibri" w:cs="Calibri"/>
                <w:b w:val="0"/>
                <w:bCs w:val="0"/>
                <w:sz w:val="22"/>
                <w:szCs w:val="22"/>
              </w:rPr>
            </w:pPr>
            <w:r w:rsidRPr="00415DAC">
              <w:rPr>
                <w:rFonts w:ascii="Calibri" w:hAnsi="Calibri" w:cs="Calibri"/>
                <w:b w:val="0"/>
                <w:bCs w:val="0"/>
                <w:sz w:val="22"/>
                <w:szCs w:val="22"/>
              </w:rPr>
              <w:t>Communications &amp; Public Engagement</w:t>
            </w:r>
          </w:p>
        </w:tc>
        <w:tc>
          <w:tcPr>
            <w:tcW w:w="4344" w:type="dxa"/>
          </w:tcPr>
          <w:p w14:paraId="2E82372B" w14:textId="1EEE8DE4" w:rsidR="005236B9" w:rsidRPr="00415DAC" w:rsidRDefault="00C14494">
            <w:pPr>
              <w:pStyle w:val="p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15DAC">
              <w:rPr>
                <w:rFonts w:ascii="Calibri" w:hAnsi="Calibri" w:cs="Calibri"/>
                <w:sz w:val="22"/>
                <w:szCs w:val="22"/>
              </w:rPr>
              <w:t>Supports advocacy, awareness-raising, and building strategic partnerships.</w:t>
            </w:r>
          </w:p>
        </w:tc>
      </w:tr>
      <w:tr w:rsidR="00C14494" w:rsidRPr="00415DAC" w14:paraId="17801996" w14:textId="77777777" w:rsidTr="001D6591">
        <w:trPr>
          <w:cnfStyle w:val="000000100000" w:firstRow="0" w:lastRow="0" w:firstColumn="0" w:lastColumn="0" w:oddVBand="0" w:evenVBand="0" w:oddHBand="1" w:evenHBand="0" w:firstRowFirstColumn="0" w:firstRowLastColumn="0" w:lastRowFirstColumn="0" w:lastRowLastColumn="0"/>
          <w:divId w:val="35352705"/>
          <w:trHeight w:val="849"/>
        </w:trPr>
        <w:tc>
          <w:tcPr>
            <w:cnfStyle w:val="001000000000" w:firstRow="0" w:lastRow="0" w:firstColumn="1" w:lastColumn="0" w:oddVBand="0" w:evenVBand="0" w:oddHBand="0" w:evenHBand="0" w:firstRowFirstColumn="0" w:firstRowLastColumn="0" w:lastRowFirstColumn="0" w:lastRowLastColumn="0"/>
            <w:tcW w:w="4344" w:type="dxa"/>
          </w:tcPr>
          <w:p w14:paraId="4D9F6817" w14:textId="0BC6B6F0" w:rsidR="00C14494" w:rsidRPr="00415DAC" w:rsidRDefault="001646F9">
            <w:pPr>
              <w:pStyle w:val="p1"/>
              <w:rPr>
                <w:rFonts w:ascii="Calibri" w:hAnsi="Calibri" w:cs="Calibri"/>
                <w:b w:val="0"/>
                <w:bCs w:val="0"/>
                <w:sz w:val="22"/>
                <w:szCs w:val="22"/>
              </w:rPr>
            </w:pPr>
            <w:r w:rsidRPr="00415DAC">
              <w:rPr>
                <w:rFonts w:ascii="Calibri" w:hAnsi="Calibri" w:cs="Calibri"/>
                <w:b w:val="0"/>
                <w:bCs w:val="0"/>
                <w:sz w:val="22"/>
                <w:szCs w:val="22"/>
              </w:rPr>
              <w:t>Human Resources &amp; Volunteer Management</w:t>
            </w:r>
          </w:p>
        </w:tc>
        <w:tc>
          <w:tcPr>
            <w:tcW w:w="4344" w:type="dxa"/>
          </w:tcPr>
          <w:p w14:paraId="77692367" w14:textId="13B3FA98" w:rsidR="00C14494" w:rsidRPr="00415DAC" w:rsidRDefault="001646F9">
            <w:pPr>
              <w:pStyle w:val="p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15DAC">
              <w:rPr>
                <w:rFonts w:ascii="Calibri" w:hAnsi="Calibri" w:cs="Calibri"/>
                <w:sz w:val="22"/>
                <w:szCs w:val="22"/>
              </w:rPr>
              <w:t>Contributes to effective oversight of staff and volunteer development.</w:t>
            </w:r>
          </w:p>
        </w:tc>
      </w:tr>
      <w:tr w:rsidR="001646F9" w:rsidRPr="00415DAC" w14:paraId="175FBB0C" w14:textId="77777777" w:rsidTr="001D6591">
        <w:trPr>
          <w:divId w:val="35352705"/>
          <w:trHeight w:val="692"/>
        </w:trPr>
        <w:tc>
          <w:tcPr>
            <w:cnfStyle w:val="001000000000" w:firstRow="0" w:lastRow="0" w:firstColumn="1" w:lastColumn="0" w:oddVBand="0" w:evenVBand="0" w:oddHBand="0" w:evenHBand="0" w:firstRowFirstColumn="0" w:firstRowLastColumn="0" w:lastRowFirstColumn="0" w:lastRowLastColumn="0"/>
            <w:tcW w:w="4344" w:type="dxa"/>
          </w:tcPr>
          <w:p w14:paraId="7DE08DAE" w14:textId="1F0F9FF5" w:rsidR="001646F9" w:rsidRPr="00415DAC" w:rsidRDefault="001646F9">
            <w:pPr>
              <w:pStyle w:val="p1"/>
              <w:rPr>
                <w:rFonts w:ascii="Calibri" w:hAnsi="Calibri" w:cs="Calibri"/>
                <w:b w:val="0"/>
                <w:bCs w:val="0"/>
                <w:sz w:val="22"/>
                <w:szCs w:val="22"/>
              </w:rPr>
            </w:pPr>
            <w:r w:rsidRPr="00415DAC">
              <w:rPr>
                <w:rFonts w:ascii="Calibri" w:hAnsi="Calibri" w:cs="Calibri"/>
                <w:b w:val="0"/>
                <w:bCs w:val="0"/>
                <w:sz w:val="22"/>
                <w:szCs w:val="22"/>
              </w:rPr>
              <w:t>Legal &amp; Risk Management</w:t>
            </w:r>
          </w:p>
        </w:tc>
        <w:tc>
          <w:tcPr>
            <w:tcW w:w="4344" w:type="dxa"/>
          </w:tcPr>
          <w:p w14:paraId="2AA858B4" w14:textId="258B8DB6" w:rsidR="001646F9" w:rsidRPr="00415DAC" w:rsidRDefault="001646F9">
            <w:pPr>
              <w:pStyle w:val="p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15DAC">
              <w:rPr>
                <w:rFonts w:ascii="Calibri" w:hAnsi="Calibri" w:cs="Calibri"/>
                <w:sz w:val="22"/>
                <w:szCs w:val="22"/>
              </w:rPr>
              <w:t>Enhances decision-making around contracts, policies, and organisational risk.</w:t>
            </w:r>
          </w:p>
        </w:tc>
      </w:tr>
      <w:tr w:rsidR="001646F9" w:rsidRPr="00415DAC" w14:paraId="4ACBDB69" w14:textId="77777777" w:rsidTr="001D6591">
        <w:trPr>
          <w:cnfStyle w:val="000000100000" w:firstRow="0" w:lastRow="0" w:firstColumn="0" w:lastColumn="0" w:oddVBand="0" w:evenVBand="0" w:oddHBand="1" w:evenHBand="0" w:firstRowFirstColumn="0" w:firstRowLastColumn="0" w:lastRowFirstColumn="0" w:lastRowLastColumn="0"/>
          <w:divId w:val="35352705"/>
          <w:trHeight w:val="702"/>
        </w:trPr>
        <w:tc>
          <w:tcPr>
            <w:cnfStyle w:val="001000000000" w:firstRow="0" w:lastRow="0" w:firstColumn="1" w:lastColumn="0" w:oddVBand="0" w:evenVBand="0" w:oddHBand="0" w:evenHBand="0" w:firstRowFirstColumn="0" w:firstRowLastColumn="0" w:lastRowFirstColumn="0" w:lastRowLastColumn="0"/>
            <w:tcW w:w="4344" w:type="dxa"/>
          </w:tcPr>
          <w:p w14:paraId="3E89A027" w14:textId="082FDD1F" w:rsidR="001646F9" w:rsidRPr="00415DAC" w:rsidRDefault="0008764F">
            <w:pPr>
              <w:pStyle w:val="p1"/>
              <w:rPr>
                <w:rFonts w:ascii="Calibri" w:hAnsi="Calibri" w:cs="Calibri"/>
                <w:b w:val="0"/>
                <w:bCs w:val="0"/>
                <w:sz w:val="22"/>
                <w:szCs w:val="22"/>
              </w:rPr>
            </w:pPr>
            <w:r w:rsidRPr="00415DAC">
              <w:rPr>
                <w:rFonts w:ascii="Calibri" w:hAnsi="Calibri" w:cs="Calibri"/>
                <w:b w:val="0"/>
                <w:bCs w:val="0"/>
                <w:sz w:val="22"/>
                <w:szCs w:val="22"/>
              </w:rPr>
              <w:t>Diversity &amp; Inclusion</w:t>
            </w:r>
          </w:p>
        </w:tc>
        <w:tc>
          <w:tcPr>
            <w:tcW w:w="4344" w:type="dxa"/>
          </w:tcPr>
          <w:p w14:paraId="40D1C6FE" w14:textId="2E5DFBAB" w:rsidR="001646F9" w:rsidRPr="00415DAC" w:rsidRDefault="0008764F">
            <w:pPr>
              <w:pStyle w:val="p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15DAC">
              <w:rPr>
                <w:rFonts w:ascii="Calibri" w:hAnsi="Calibri" w:cs="Calibri"/>
                <w:sz w:val="22"/>
                <w:szCs w:val="22"/>
              </w:rPr>
              <w:t>Ensures the Board reflects a broad range of perspectives and lived experiences.</w:t>
            </w:r>
          </w:p>
        </w:tc>
      </w:tr>
    </w:tbl>
    <w:p w14:paraId="50EC3B30" w14:textId="77777777" w:rsidR="00DC1384" w:rsidRPr="00415DAC" w:rsidRDefault="00DC1384">
      <w:pPr>
        <w:pStyle w:val="p1"/>
        <w:divId w:val="35352705"/>
        <w:rPr>
          <w:rStyle w:val="s2"/>
          <w:rFonts w:ascii="Calibri" w:hAnsi="Calibri" w:cs="Calibri"/>
          <w:sz w:val="22"/>
          <w:szCs w:val="22"/>
        </w:rPr>
      </w:pPr>
    </w:p>
    <w:p w14:paraId="61A040BD" w14:textId="77777777" w:rsidR="00DC1384" w:rsidRPr="00415DAC" w:rsidRDefault="00DC1384">
      <w:pPr>
        <w:pStyle w:val="p1"/>
        <w:divId w:val="35352705"/>
        <w:rPr>
          <w:rStyle w:val="s2"/>
          <w:rFonts w:ascii="Calibri" w:hAnsi="Calibri" w:cs="Calibri"/>
          <w:sz w:val="22"/>
          <w:szCs w:val="22"/>
        </w:rPr>
      </w:pPr>
    </w:p>
    <w:p w14:paraId="4DFF6188" w14:textId="77777777" w:rsidR="00DC1384" w:rsidRPr="00415DAC" w:rsidRDefault="00DC1384">
      <w:pPr>
        <w:pStyle w:val="p1"/>
        <w:divId w:val="35352705"/>
        <w:rPr>
          <w:rStyle w:val="s2"/>
          <w:rFonts w:ascii="Calibri" w:hAnsi="Calibri" w:cs="Calibri"/>
          <w:sz w:val="22"/>
          <w:szCs w:val="22"/>
        </w:rPr>
      </w:pPr>
    </w:p>
    <w:p w14:paraId="0B3BE3E0" w14:textId="77777777" w:rsidR="00DC1384" w:rsidRPr="00415DAC" w:rsidRDefault="00DC1384">
      <w:pPr>
        <w:pStyle w:val="p1"/>
        <w:divId w:val="35352705"/>
        <w:rPr>
          <w:rStyle w:val="s2"/>
          <w:rFonts w:ascii="Calibri" w:hAnsi="Calibri" w:cs="Calibri"/>
          <w:sz w:val="22"/>
          <w:szCs w:val="22"/>
        </w:rPr>
      </w:pPr>
    </w:p>
    <w:p w14:paraId="3D183E3B" w14:textId="77777777" w:rsidR="00DC1384" w:rsidRPr="00415DAC" w:rsidRDefault="00DC1384">
      <w:pPr>
        <w:pStyle w:val="p1"/>
        <w:divId w:val="35352705"/>
        <w:rPr>
          <w:rStyle w:val="s2"/>
          <w:rFonts w:ascii="Calibri" w:hAnsi="Calibri" w:cs="Calibri"/>
          <w:sz w:val="22"/>
          <w:szCs w:val="22"/>
        </w:rPr>
      </w:pPr>
    </w:p>
    <w:p w14:paraId="27360F1F" w14:textId="77777777" w:rsidR="007124D6" w:rsidRPr="00415DAC" w:rsidRDefault="007124D6">
      <w:pPr>
        <w:pStyle w:val="p1"/>
        <w:divId w:val="35352705"/>
        <w:rPr>
          <w:rFonts w:ascii="Calibri" w:hAnsi="Calibri" w:cs="Calibri"/>
          <w:sz w:val="22"/>
          <w:szCs w:val="22"/>
        </w:rPr>
      </w:pPr>
    </w:p>
    <w:p w14:paraId="477E94E2" w14:textId="77777777" w:rsidR="00C5438C" w:rsidRPr="00415DAC" w:rsidRDefault="00C5438C" w:rsidP="00E270F2">
      <w:pPr>
        <w:rPr>
          <w:rFonts w:ascii="Calibri" w:hAnsi="Calibri" w:cs="Calibri"/>
          <w:sz w:val="22"/>
          <w:szCs w:val="22"/>
        </w:rPr>
      </w:pPr>
    </w:p>
    <w:sectPr w:rsidR="00C5438C" w:rsidRPr="00415DA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7D43" w14:textId="77777777" w:rsidR="00604601" w:rsidRDefault="00604601" w:rsidP="00013EBD">
      <w:pPr>
        <w:spacing w:after="0" w:line="240" w:lineRule="auto"/>
      </w:pPr>
      <w:r>
        <w:separator/>
      </w:r>
    </w:p>
  </w:endnote>
  <w:endnote w:type="continuationSeparator" w:id="0">
    <w:p w14:paraId="37CB903B" w14:textId="77777777" w:rsidR="00604601" w:rsidRDefault="00604601" w:rsidP="0001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19D8" w14:textId="2531F2C3" w:rsidR="00013EBD" w:rsidRPr="00995127" w:rsidRDefault="00013EBD">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0576" w14:textId="77777777" w:rsidR="00604601" w:rsidRDefault="00604601" w:rsidP="00013EBD">
      <w:pPr>
        <w:spacing w:after="0" w:line="240" w:lineRule="auto"/>
      </w:pPr>
      <w:r>
        <w:separator/>
      </w:r>
    </w:p>
  </w:footnote>
  <w:footnote w:type="continuationSeparator" w:id="0">
    <w:p w14:paraId="2CE8A09C" w14:textId="77777777" w:rsidR="00604601" w:rsidRDefault="00604601" w:rsidP="00013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97"/>
    <w:rsid w:val="00013EBD"/>
    <w:rsid w:val="0003161E"/>
    <w:rsid w:val="00034E33"/>
    <w:rsid w:val="0008764F"/>
    <w:rsid w:val="001646F9"/>
    <w:rsid w:val="001D6591"/>
    <w:rsid w:val="003702D3"/>
    <w:rsid w:val="003822CE"/>
    <w:rsid w:val="00415DAC"/>
    <w:rsid w:val="00445EB3"/>
    <w:rsid w:val="00466DB3"/>
    <w:rsid w:val="00467EF9"/>
    <w:rsid w:val="004B0CE9"/>
    <w:rsid w:val="00512D7E"/>
    <w:rsid w:val="005236B9"/>
    <w:rsid w:val="00604601"/>
    <w:rsid w:val="00667FA1"/>
    <w:rsid w:val="007124D6"/>
    <w:rsid w:val="007376E7"/>
    <w:rsid w:val="007E78BF"/>
    <w:rsid w:val="00943697"/>
    <w:rsid w:val="00995127"/>
    <w:rsid w:val="00A8469F"/>
    <w:rsid w:val="00C14494"/>
    <w:rsid w:val="00C5438C"/>
    <w:rsid w:val="00C64A2B"/>
    <w:rsid w:val="00C80CAD"/>
    <w:rsid w:val="00CB0817"/>
    <w:rsid w:val="00DC1384"/>
    <w:rsid w:val="00E01051"/>
    <w:rsid w:val="00E270F2"/>
    <w:rsid w:val="00E90FC2"/>
    <w:rsid w:val="00F03075"/>
    <w:rsid w:val="00F74DBA"/>
    <w:rsid w:val="00FB0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2A6D"/>
  <w15:chartTrackingRefBased/>
  <w15:docId w15:val="{03A5627B-F191-E64B-809A-CCC2AD90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697"/>
    <w:rPr>
      <w:rFonts w:eastAsiaTheme="majorEastAsia" w:cstheme="majorBidi"/>
      <w:color w:val="272727" w:themeColor="text1" w:themeTint="D8"/>
    </w:rPr>
  </w:style>
  <w:style w:type="paragraph" w:styleId="Title">
    <w:name w:val="Title"/>
    <w:basedOn w:val="Normal"/>
    <w:next w:val="Normal"/>
    <w:link w:val="TitleChar"/>
    <w:uiPriority w:val="10"/>
    <w:qFormat/>
    <w:rsid w:val="00943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697"/>
    <w:pPr>
      <w:spacing w:before="160"/>
      <w:jc w:val="center"/>
    </w:pPr>
    <w:rPr>
      <w:i/>
      <w:iCs/>
      <w:color w:val="404040" w:themeColor="text1" w:themeTint="BF"/>
    </w:rPr>
  </w:style>
  <w:style w:type="character" w:customStyle="1" w:styleId="QuoteChar">
    <w:name w:val="Quote Char"/>
    <w:basedOn w:val="DefaultParagraphFont"/>
    <w:link w:val="Quote"/>
    <w:uiPriority w:val="29"/>
    <w:rsid w:val="00943697"/>
    <w:rPr>
      <w:i/>
      <w:iCs/>
      <w:color w:val="404040" w:themeColor="text1" w:themeTint="BF"/>
    </w:rPr>
  </w:style>
  <w:style w:type="paragraph" w:styleId="ListParagraph">
    <w:name w:val="List Paragraph"/>
    <w:basedOn w:val="Normal"/>
    <w:uiPriority w:val="34"/>
    <w:qFormat/>
    <w:rsid w:val="00943697"/>
    <w:pPr>
      <w:ind w:left="720"/>
      <w:contextualSpacing/>
    </w:pPr>
  </w:style>
  <w:style w:type="character" w:styleId="IntenseEmphasis">
    <w:name w:val="Intense Emphasis"/>
    <w:basedOn w:val="DefaultParagraphFont"/>
    <w:uiPriority w:val="21"/>
    <w:qFormat/>
    <w:rsid w:val="00943697"/>
    <w:rPr>
      <w:i/>
      <w:iCs/>
      <w:color w:val="0F4761" w:themeColor="accent1" w:themeShade="BF"/>
    </w:rPr>
  </w:style>
  <w:style w:type="paragraph" w:styleId="IntenseQuote">
    <w:name w:val="Intense Quote"/>
    <w:basedOn w:val="Normal"/>
    <w:next w:val="Normal"/>
    <w:link w:val="IntenseQuoteChar"/>
    <w:uiPriority w:val="30"/>
    <w:qFormat/>
    <w:rsid w:val="00943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697"/>
    <w:rPr>
      <w:i/>
      <w:iCs/>
      <w:color w:val="0F4761" w:themeColor="accent1" w:themeShade="BF"/>
    </w:rPr>
  </w:style>
  <w:style w:type="character" w:styleId="IntenseReference">
    <w:name w:val="Intense Reference"/>
    <w:basedOn w:val="DefaultParagraphFont"/>
    <w:uiPriority w:val="32"/>
    <w:qFormat/>
    <w:rsid w:val="00943697"/>
    <w:rPr>
      <w:b/>
      <w:bCs/>
      <w:smallCaps/>
      <w:color w:val="0F4761" w:themeColor="accent1" w:themeShade="BF"/>
      <w:spacing w:val="5"/>
    </w:rPr>
  </w:style>
  <w:style w:type="paragraph" w:customStyle="1" w:styleId="p1">
    <w:name w:val="p1"/>
    <w:basedOn w:val="Normal"/>
    <w:rsid w:val="00943697"/>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943697"/>
  </w:style>
  <w:style w:type="paragraph" w:customStyle="1" w:styleId="p2">
    <w:name w:val="p2"/>
    <w:basedOn w:val="Normal"/>
    <w:rsid w:val="00943697"/>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943697"/>
  </w:style>
  <w:style w:type="paragraph" w:styleId="Header">
    <w:name w:val="header"/>
    <w:basedOn w:val="Normal"/>
    <w:link w:val="HeaderChar"/>
    <w:uiPriority w:val="99"/>
    <w:unhideWhenUsed/>
    <w:rsid w:val="00013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EBD"/>
  </w:style>
  <w:style w:type="paragraph" w:styleId="Footer">
    <w:name w:val="footer"/>
    <w:basedOn w:val="Normal"/>
    <w:link w:val="FooterChar"/>
    <w:uiPriority w:val="99"/>
    <w:unhideWhenUsed/>
    <w:rsid w:val="00013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EBD"/>
  </w:style>
  <w:style w:type="character" w:customStyle="1" w:styleId="apple-converted-space">
    <w:name w:val="apple-converted-space"/>
    <w:basedOn w:val="DefaultParagraphFont"/>
    <w:rsid w:val="00445EB3"/>
  </w:style>
  <w:style w:type="table" w:styleId="TableGrid">
    <w:name w:val="Table Grid"/>
    <w:basedOn w:val="TableNormal"/>
    <w:uiPriority w:val="39"/>
    <w:rsid w:val="0037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A846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4B0C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415DAC"/>
    <w:rPr>
      <w:b/>
      <w:bCs/>
    </w:rPr>
  </w:style>
  <w:style w:type="paragraph" w:styleId="NormalWeb">
    <w:name w:val="Normal (Web)"/>
    <w:basedOn w:val="Normal"/>
    <w:uiPriority w:val="99"/>
    <w:semiHidden/>
    <w:unhideWhenUsed/>
    <w:rsid w:val="00415DA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2705">
      <w:bodyDiv w:val="1"/>
      <w:marLeft w:val="0"/>
      <w:marRight w:val="0"/>
      <w:marTop w:val="0"/>
      <w:marBottom w:val="0"/>
      <w:divBdr>
        <w:top w:val="none" w:sz="0" w:space="0" w:color="auto"/>
        <w:left w:val="none" w:sz="0" w:space="0" w:color="auto"/>
        <w:bottom w:val="none" w:sz="0" w:space="0" w:color="auto"/>
        <w:right w:val="none" w:sz="0" w:space="0" w:color="auto"/>
      </w:divBdr>
    </w:div>
    <w:div w:id="1116365216">
      <w:bodyDiv w:val="1"/>
      <w:marLeft w:val="0"/>
      <w:marRight w:val="0"/>
      <w:marTop w:val="0"/>
      <w:marBottom w:val="0"/>
      <w:divBdr>
        <w:top w:val="none" w:sz="0" w:space="0" w:color="auto"/>
        <w:left w:val="none" w:sz="0" w:space="0" w:color="auto"/>
        <w:bottom w:val="none" w:sz="0" w:space="0" w:color="auto"/>
        <w:right w:val="none" w:sz="0" w:space="0" w:color="auto"/>
      </w:divBdr>
    </w:div>
    <w:div w:id="186405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Peter</dc:creator>
  <cp:keywords/>
  <dc:description/>
  <cp:lastModifiedBy>Peter Pritchard</cp:lastModifiedBy>
  <cp:revision>3</cp:revision>
  <dcterms:created xsi:type="dcterms:W3CDTF">2025-11-17T15:45:00Z</dcterms:created>
  <dcterms:modified xsi:type="dcterms:W3CDTF">2025-11-17T15:59:00Z</dcterms:modified>
</cp:coreProperties>
</file>