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1EA86" w14:textId="7BADC00A" w:rsidR="0005495A" w:rsidRDefault="006A3254" w:rsidP="0005495A">
      <w:pPr>
        <w:jc w:val="center"/>
        <w:rPr>
          <w:b/>
          <w:bCs/>
          <w:sz w:val="40"/>
          <w:szCs w:val="40"/>
        </w:rPr>
      </w:pPr>
      <w:r>
        <w:rPr>
          <w:b/>
          <w:bCs/>
          <w:noProof/>
          <w:sz w:val="40"/>
          <w:szCs w:val="40"/>
        </w:rPr>
        <w:drawing>
          <wp:inline distT="0" distB="0" distL="0" distR="0" wp14:anchorId="53AD3E7C" wp14:editId="3888390C">
            <wp:extent cx="3749040" cy="4876800"/>
            <wp:effectExtent l="0" t="0" r="3810" b="0"/>
            <wp:docPr id="1016442334" name="Picture 3" descr="A logo for a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442334" name="Picture 3" descr="A logo for a charity&#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749040" cy="4876800"/>
                    </a:xfrm>
                    <a:prstGeom prst="rect">
                      <a:avLst/>
                    </a:prstGeom>
                  </pic:spPr>
                </pic:pic>
              </a:graphicData>
            </a:graphic>
          </wp:inline>
        </w:drawing>
      </w:r>
    </w:p>
    <w:p w14:paraId="7D308350" w14:textId="77777777" w:rsidR="0005495A" w:rsidRDefault="0005495A" w:rsidP="0005495A">
      <w:pPr>
        <w:jc w:val="center"/>
        <w:rPr>
          <w:b/>
          <w:bCs/>
          <w:sz w:val="40"/>
          <w:szCs w:val="40"/>
        </w:rPr>
      </w:pPr>
    </w:p>
    <w:p w14:paraId="40A44BFA" w14:textId="77777777" w:rsidR="0005495A" w:rsidRDefault="0005495A" w:rsidP="0005495A">
      <w:pPr>
        <w:jc w:val="center"/>
        <w:rPr>
          <w:b/>
          <w:bCs/>
          <w:sz w:val="40"/>
          <w:szCs w:val="40"/>
        </w:rPr>
      </w:pPr>
    </w:p>
    <w:p w14:paraId="765A702D" w14:textId="77777777" w:rsidR="0005495A" w:rsidRDefault="0005495A" w:rsidP="0005495A">
      <w:pPr>
        <w:jc w:val="center"/>
        <w:rPr>
          <w:b/>
          <w:bCs/>
          <w:sz w:val="40"/>
          <w:szCs w:val="40"/>
        </w:rPr>
      </w:pPr>
    </w:p>
    <w:p w14:paraId="6FB8F73D" w14:textId="1DB42A72" w:rsidR="0005495A" w:rsidRDefault="001B6CEE" w:rsidP="0005495A">
      <w:pPr>
        <w:jc w:val="center"/>
        <w:rPr>
          <w:b/>
          <w:bCs/>
          <w:sz w:val="40"/>
          <w:szCs w:val="40"/>
        </w:rPr>
      </w:pPr>
      <w:r>
        <w:rPr>
          <w:b/>
          <w:bCs/>
          <w:sz w:val="40"/>
          <w:szCs w:val="40"/>
        </w:rPr>
        <w:t>SERIOUS INCIDENT REPORTING</w:t>
      </w:r>
      <w:r w:rsidR="005A599C">
        <w:rPr>
          <w:b/>
          <w:bCs/>
          <w:sz w:val="40"/>
          <w:szCs w:val="40"/>
        </w:rPr>
        <w:t xml:space="preserve"> POLICY</w:t>
      </w:r>
    </w:p>
    <w:p w14:paraId="4A270F23" w14:textId="77777777" w:rsidR="0005495A" w:rsidRDefault="0005495A" w:rsidP="0005495A">
      <w:pPr>
        <w:jc w:val="center"/>
        <w:rPr>
          <w:b/>
          <w:bCs/>
          <w:sz w:val="40"/>
          <w:szCs w:val="40"/>
        </w:rPr>
      </w:pPr>
    </w:p>
    <w:p w14:paraId="577C8ABB" w14:textId="0C629B84" w:rsidR="0005495A" w:rsidRDefault="00193C20" w:rsidP="0005495A">
      <w:pPr>
        <w:jc w:val="center"/>
        <w:rPr>
          <w:b/>
          <w:bCs/>
          <w:sz w:val="40"/>
          <w:szCs w:val="40"/>
        </w:rPr>
      </w:pPr>
      <w:r>
        <w:rPr>
          <w:b/>
          <w:bCs/>
          <w:sz w:val="40"/>
          <w:szCs w:val="40"/>
        </w:rPr>
        <w:t>November 2025</w:t>
      </w:r>
    </w:p>
    <w:p w14:paraId="5FE2F9AE" w14:textId="13EBBD78" w:rsidR="0005495A" w:rsidRPr="00E57B9B" w:rsidRDefault="0005495A" w:rsidP="0005495A">
      <w:pPr>
        <w:jc w:val="center"/>
        <w:rPr>
          <w:b/>
          <w:bCs/>
          <w:sz w:val="40"/>
          <w:szCs w:val="40"/>
        </w:rPr>
      </w:pPr>
      <w:r>
        <w:rPr>
          <w:b/>
          <w:bCs/>
          <w:sz w:val="40"/>
          <w:szCs w:val="40"/>
        </w:rPr>
        <w:t>V</w:t>
      </w:r>
      <w:r w:rsidR="00193C20">
        <w:rPr>
          <w:b/>
          <w:bCs/>
          <w:sz w:val="40"/>
          <w:szCs w:val="40"/>
        </w:rPr>
        <w:t>1.0</w:t>
      </w:r>
    </w:p>
    <w:p w14:paraId="4CBE9C7A" w14:textId="1698A8B5" w:rsidR="001B6CEE" w:rsidRDefault="0005495A" w:rsidP="001B6CEE">
      <w:pPr>
        <w:pStyle w:val="NormalWeb"/>
        <w:rPr>
          <w:rFonts w:asciiTheme="minorHAnsi" w:hAnsiTheme="minorHAnsi" w:cstheme="minorHAnsi"/>
          <w:sz w:val="22"/>
          <w:szCs w:val="22"/>
        </w:rPr>
      </w:pPr>
      <w:r>
        <w:br w:type="page"/>
      </w:r>
      <w:r w:rsidR="001B6CEE" w:rsidRPr="001B6CEE">
        <w:rPr>
          <w:rStyle w:val="Strong"/>
          <w:rFonts w:asciiTheme="minorHAnsi" w:hAnsiTheme="minorHAnsi" w:cstheme="minorHAnsi"/>
          <w:sz w:val="22"/>
          <w:szCs w:val="22"/>
        </w:rPr>
        <w:lastRenderedPageBreak/>
        <w:t>Policy name:</w:t>
      </w:r>
      <w:r w:rsidR="001B6CEE" w:rsidRPr="001B6CEE">
        <w:rPr>
          <w:rFonts w:asciiTheme="minorHAnsi" w:hAnsiTheme="minorHAnsi" w:cstheme="minorHAnsi"/>
          <w:sz w:val="22"/>
          <w:szCs w:val="22"/>
        </w:rPr>
        <w:t xml:space="preserve"> Florence Foundation Serious Incident Reporting Policy</w:t>
      </w:r>
      <w:r w:rsidR="001B6CEE" w:rsidRPr="001B6CEE">
        <w:rPr>
          <w:rFonts w:asciiTheme="minorHAnsi" w:hAnsiTheme="minorHAnsi" w:cstheme="minorHAnsi"/>
          <w:sz w:val="22"/>
          <w:szCs w:val="22"/>
        </w:rPr>
        <w:br/>
      </w:r>
      <w:r w:rsidR="001B6CEE" w:rsidRPr="001B6CEE">
        <w:rPr>
          <w:rStyle w:val="Strong"/>
          <w:rFonts w:asciiTheme="minorHAnsi" w:hAnsiTheme="minorHAnsi" w:cstheme="minorHAnsi"/>
          <w:sz w:val="22"/>
          <w:szCs w:val="22"/>
        </w:rPr>
        <w:t>Adopted on:</w:t>
      </w:r>
      <w:r w:rsidR="001B6CEE" w:rsidRPr="001B6CEE">
        <w:rPr>
          <w:rFonts w:asciiTheme="minorHAnsi" w:hAnsiTheme="minorHAnsi" w:cstheme="minorHAnsi"/>
          <w:sz w:val="22"/>
          <w:szCs w:val="22"/>
        </w:rPr>
        <w:t xml:space="preserve"> </w:t>
      </w:r>
      <w:r w:rsidR="00BA799F">
        <w:rPr>
          <w:rFonts w:asciiTheme="minorHAnsi" w:hAnsiTheme="minorHAnsi" w:cstheme="minorHAnsi"/>
          <w:sz w:val="22"/>
          <w:szCs w:val="22"/>
        </w:rPr>
        <w:t>29</w:t>
      </w:r>
      <w:r w:rsidR="00BA799F" w:rsidRPr="00BA799F">
        <w:rPr>
          <w:rFonts w:asciiTheme="minorHAnsi" w:hAnsiTheme="minorHAnsi" w:cstheme="minorHAnsi"/>
          <w:sz w:val="22"/>
          <w:szCs w:val="22"/>
          <w:vertAlign w:val="superscript"/>
        </w:rPr>
        <w:t>th</w:t>
      </w:r>
      <w:r w:rsidR="00BA799F">
        <w:rPr>
          <w:rFonts w:asciiTheme="minorHAnsi" w:hAnsiTheme="minorHAnsi" w:cstheme="minorHAnsi"/>
          <w:sz w:val="22"/>
          <w:szCs w:val="22"/>
        </w:rPr>
        <w:t xml:space="preserve"> November 2025</w:t>
      </w:r>
      <w:r w:rsidR="001B6CEE" w:rsidRPr="001B6CEE">
        <w:rPr>
          <w:rFonts w:asciiTheme="minorHAnsi" w:hAnsiTheme="minorHAnsi" w:cstheme="minorHAnsi"/>
          <w:sz w:val="22"/>
          <w:szCs w:val="22"/>
        </w:rPr>
        <w:br/>
      </w:r>
      <w:r w:rsidR="001B6CEE" w:rsidRPr="001B6CEE">
        <w:rPr>
          <w:rStyle w:val="Strong"/>
          <w:rFonts w:asciiTheme="minorHAnsi" w:hAnsiTheme="minorHAnsi" w:cstheme="minorHAnsi"/>
          <w:sz w:val="22"/>
          <w:szCs w:val="22"/>
        </w:rPr>
        <w:t>Review date:</w:t>
      </w:r>
      <w:r w:rsidR="001B6CEE" w:rsidRPr="001B6CEE">
        <w:rPr>
          <w:rFonts w:asciiTheme="minorHAnsi" w:hAnsiTheme="minorHAnsi" w:cstheme="minorHAnsi"/>
          <w:sz w:val="22"/>
          <w:szCs w:val="22"/>
        </w:rPr>
        <w:t xml:space="preserve"> </w:t>
      </w:r>
      <w:r w:rsidR="00BA799F">
        <w:rPr>
          <w:rFonts w:asciiTheme="minorHAnsi" w:hAnsiTheme="minorHAnsi" w:cstheme="minorHAnsi"/>
          <w:sz w:val="22"/>
          <w:szCs w:val="22"/>
        </w:rPr>
        <w:t>November 2026</w:t>
      </w:r>
    </w:p>
    <w:p w14:paraId="3FA89438" w14:textId="2DAEC1FE" w:rsidR="001B6CEE" w:rsidRPr="001B6CEE" w:rsidRDefault="001B6CEE" w:rsidP="001B6CEE">
      <w:pPr>
        <w:pStyle w:val="NormalWeb"/>
        <w:rPr>
          <w:rFonts w:asciiTheme="minorHAnsi" w:hAnsiTheme="minorHAnsi" w:cstheme="minorHAnsi"/>
          <w:sz w:val="22"/>
          <w:szCs w:val="22"/>
        </w:rPr>
      </w:pPr>
      <w:r w:rsidRPr="001B6CEE">
        <w:rPr>
          <w:rFonts w:asciiTheme="minorHAnsi" w:hAnsiTheme="minorHAnsi" w:cstheme="minorHAnsi"/>
          <w:sz w:val="22"/>
          <w:szCs w:val="22"/>
        </w:rPr>
        <w:br/>
      </w:r>
      <w:r w:rsidRPr="001B6CEE">
        <w:rPr>
          <w:rStyle w:val="Strong"/>
          <w:rFonts w:asciiTheme="minorHAnsi" w:hAnsiTheme="minorHAnsi" w:cstheme="minorHAnsi"/>
          <w:sz w:val="22"/>
          <w:szCs w:val="22"/>
        </w:rPr>
        <w:t>Purpose:</w:t>
      </w:r>
      <w:r w:rsidRPr="001B6CEE">
        <w:rPr>
          <w:rFonts w:asciiTheme="minorHAnsi" w:hAnsiTheme="minorHAnsi" w:cstheme="minorHAnsi"/>
          <w:sz w:val="22"/>
          <w:szCs w:val="22"/>
        </w:rPr>
        <w:br/>
        <w:t>The trustees of the Florence Foundation (“the Charity”) recognise that although the Charity is small and awards modest grants, it still may face “serious incidents” (actual or alleged) that could affect its operations, beneficiaries, finances, assets or reputation. The trustees are committed to identifying, handling and reporting such incidents in accordance with the Charity Commission’s guidance.</w:t>
      </w:r>
    </w:p>
    <w:p w14:paraId="414AFE96" w14:textId="77777777" w:rsidR="001B6CEE" w:rsidRPr="001B6CEE" w:rsidRDefault="001B6CEE" w:rsidP="001B6CEE">
      <w:pPr>
        <w:pStyle w:val="Heading3"/>
        <w:rPr>
          <w:rFonts w:asciiTheme="minorHAnsi" w:hAnsiTheme="minorHAnsi" w:cstheme="minorHAnsi"/>
          <w:sz w:val="22"/>
          <w:szCs w:val="22"/>
        </w:rPr>
      </w:pPr>
      <w:r w:rsidRPr="001B6CEE">
        <w:rPr>
          <w:rFonts w:asciiTheme="minorHAnsi" w:hAnsiTheme="minorHAnsi" w:cstheme="minorHAnsi"/>
          <w:sz w:val="22"/>
          <w:szCs w:val="22"/>
        </w:rPr>
        <w:t>1. What is a serious incident?</w:t>
      </w:r>
    </w:p>
    <w:p w14:paraId="75159CF3" w14:textId="77777777" w:rsidR="001B6CEE" w:rsidRPr="001B6CEE" w:rsidRDefault="001B6CEE" w:rsidP="001B6CEE">
      <w:pPr>
        <w:pStyle w:val="NormalWeb"/>
        <w:rPr>
          <w:rFonts w:asciiTheme="minorHAnsi" w:hAnsiTheme="minorHAnsi" w:cstheme="minorHAnsi"/>
          <w:sz w:val="22"/>
          <w:szCs w:val="22"/>
        </w:rPr>
      </w:pPr>
      <w:r w:rsidRPr="001B6CEE">
        <w:rPr>
          <w:rFonts w:asciiTheme="minorHAnsi" w:hAnsiTheme="minorHAnsi" w:cstheme="minorHAnsi"/>
          <w:sz w:val="22"/>
          <w:szCs w:val="22"/>
        </w:rPr>
        <w:t>A serious incident is an adverse event (or alleged event) which:</w:t>
      </w:r>
    </w:p>
    <w:p w14:paraId="59331C06" w14:textId="2454F894" w:rsidR="001B6CEE" w:rsidRPr="001B6CEE" w:rsidRDefault="001B6CEE" w:rsidP="001B6CEE">
      <w:pPr>
        <w:pStyle w:val="NormalWeb"/>
        <w:numPr>
          <w:ilvl w:val="0"/>
          <w:numId w:val="25"/>
        </w:numPr>
        <w:rPr>
          <w:rFonts w:asciiTheme="minorHAnsi" w:hAnsiTheme="minorHAnsi" w:cstheme="minorHAnsi"/>
          <w:sz w:val="22"/>
          <w:szCs w:val="22"/>
        </w:rPr>
      </w:pPr>
      <w:r w:rsidRPr="001B6CEE">
        <w:rPr>
          <w:rFonts w:asciiTheme="minorHAnsi" w:hAnsiTheme="minorHAnsi" w:cstheme="minorHAnsi"/>
          <w:sz w:val="22"/>
          <w:szCs w:val="22"/>
        </w:rPr>
        <w:t xml:space="preserve">causes or risks significant harm to the Charity’s beneficiaries, staff, volunteers or others connected with the Charity; </w:t>
      </w:r>
    </w:p>
    <w:p w14:paraId="18C6F4DD" w14:textId="6AD10E4B" w:rsidR="001B6CEE" w:rsidRPr="001B6CEE" w:rsidRDefault="001B6CEE" w:rsidP="001B6CEE">
      <w:pPr>
        <w:pStyle w:val="NormalWeb"/>
        <w:numPr>
          <w:ilvl w:val="0"/>
          <w:numId w:val="25"/>
        </w:numPr>
        <w:rPr>
          <w:rFonts w:asciiTheme="minorHAnsi" w:hAnsiTheme="minorHAnsi" w:cstheme="minorHAnsi"/>
          <w:sz w:val="22"/>
          <w:szCs w:val="22"/>
        </w:rPr>
      </w:pPr>
      <w:r w:rsidRPr="001B6CEE">
        <w:rPr>
          <w:rFonts w:asciiTheme="minorHAnsi" w:hAnsiTheme="minorHAnsi" w:cstheme="minorHAnsi"/>
          <w:sz w:val="22"/>
          <w:szCs w:val="22"/>
        </w:rPr>
        <w:t xml:space="preserve">causes or risks significant loss or damage to the Charity’s property or assets; </w:t>
      </w:r>
    </w:p>
    <w:p w14:paraId="23AC7E3B" w14:textId="77777777" w:rsidR="001B6CEE" w:rsidRPr="001B6CEE" w:rsidRDefault="001B6CEE" w:rsidP="001B6CEE">
      <w:pPr>
        <w:pStyle w:val="NormalWeb"/>
        <w:numPr>
          <w:ilvl w:val="0"/>
          <w:numId w:val="25"/>
        </w:numPr>
        <w:rPr>
          <w:rFonts w:asciiTheme="minorHAnsi" w:hAnsiTheme="minorHAnsi" w:cstheme="minorHAnsi"/>
          <w:sz w:val="22"/>
          <w:szCs w:val="22"/>
        </w:rPr>
      </w:pPr>
      <w:r w:rsidRPr="001B6CEE">
        <w:rPr>
          <w:rFonts w:asciiTheme="minorHAnsi" w:hAnsiTheme="minorHAnsi" w:cstheme="minorHAnsi"/>
          <w:sz w:val="22"/>
          <w:szCs w:val="22"/>
        </w:rPr>
        <w:t>causes, or risks, significant reputational damage to the Charity; or</w:t>
      </w:r>
    </w:p>
    <w:p w14:paraId="2B735CE6" w14:textId="77777777" w:rsidR="001B6CEE" w:rsidRPr="001B6CEE" w:rsidRDefault="001B6CEE" w:rsidP="001B6CEE">
      <w:pPr>
        <w:pStyle w:val="NormalWeb"/>
        <w:numPr>
          <w:ilvl w:val="0"/>
          <w:numId w:val="25"/>
        </w:numPr>
        <w:rPr>
          <w:rFonts w:asciiTheme="minorHAnsi" w:hAnsiTheme="minorHAnsi" w:cstheme="minorHAnsi"/>
          <w:sz w:val="22"/>
          <w:szCs w:val="22"/>
        </w:rPr>
      </w:pPr>
      <w:r w:rsidRPr="001B6CEE">
        <w:rPr>
          <w:rFonts w:asciiTheme="minorHAnsi" w:hAnsiTheme="minorHAnsi" w:cstheme="minorHAnsi"/>
          <w:sz w:val="22"/>
          <w:szCs w:val="22"/>
        </w:rPr>
        <w:t>results in, or risks, a significant regulatory or legal breach.</w:t>
      </w:r>
      <w:r w:rsidRPr="001B6CEE">
        <w:rPr>
          <w:rFonts w:asciiTheme="minorHAnsi" w:hAnsiTheme="minorHAnsi" w:cstheme="minorHAnsi"/>
          <w:sz w:val="22"/>
          <w:szCs w:val="22"/>
        </w:rPr>
        <w:br/>
        <w:t>Examples may include fraud or theft, safeguarding issues, serious governance failures, a major financial loss, failure in grant-making with significant consequence, cyber-attack/data breach, or any incident which could damage public trust.</w:t>
      </w:r>
    </w:p>
    <w:p w14:paraId="03BFB7A1" w14:textId="77777777" w:rsidR="001B6CEE" w:rsidRPr="001B6CEE" w:rsidRDefault="001B6CEE" w:rsidP="001B6CEE">
      <w:pPr>
        <w:pStyle w:val="Heading3"/>
        <w:rPr>
          <w:rFonts w:asciiTheme="minorHAnsi" w:hAnsiTheme="minorHAnsi" w:cstheme="minorHAnsi"/>
          <w:sz w:val="22"/>
          <w:szCs w:val="22"/>
        </w:rPr>
      </w:pPr>
      <w:r w:rsidRPr="001B6CEE">
        <w:rPr>
          <w:rFonts w:asciiTheme="minorHAnsi" w:hAnsiTheme="minorHAnsi" w:cstheme="minorHAnsi"/>
          <w:sz w:val="22"/>
          <w:szCs w:val="22"/>
        </w:rPr>
        <w:t>2. Responsibilities and procedure</w:t>
      </w:r>
    </w:p>
    <w:p w14:paraId="6CF44752" w14:textId="77777777" w:rsidR="001B6CEE" w:rsidRPr="001B6CEE" w:rsidRDefault="001B6CEE" w:rsidP="001B6CEE">
      <w:pPr>
        <w:pStyle w:val="Heading4"/>
        <w:rPr>
          <w:rFonts w:asciiTheme="minorHAnsi" w:hAnsiTheme="minorHAnsi" w:cstheme="minorHAnsi"/>
        </w:rPr>
      </w:pPr>
      <w:r w:rsidRPr="001B6CEE">
        <w:rPr>
          <w:rFonts w:asciiTheme="minorHAnsi" w:hAnsiTheme="minorHAnsi" w:cstheme="minorHAnsi"/>
        </w:rPr>
        <w:t>2.1 Immediate actions</w:t>
      </w:r>
    </w:p>
    <w:p w14:paraId="7260F897" w14:textId="77777777" w:rsidR="001B6CEE" w:rsidRPr="001B6CEE" w:rsidRDefault="001B6CEE" w:rsidP="001B6CEE">
      <w:pPr>
        <w:pStyle w:val="NormalWeb"/>
        <w:numPr>
          <w:ilvl w:val="0"/>
          <w:numId w:val="26"/>
        </w:numPr>
        <w:rPr>
          <w:rFonts w:asciiTheme="minorHAnsi" w:hAnsiTheme="minorHAnsi" w:cstheme="minorHAnsi"/>
          <w:sz w:val="22"/>
          <w:szCs w:val="22"/>
        </w:rPr>
      </w:pPr>
      <w:r w:rsidRPr="001B6CEE">
        <w:rPr>
          <w:rFonts w:asciiTheme="minorHAnsi" w:hAnsiTheme="minorHAnsi" w:cstheme="minorHAnsi"/>
          <w:sz w:val="22"/>
          <w:szCs w:val="22"/>
        </w:rPr>
        <w:t>If a trustee becomes aware of a potential serious incident they must inform the Chair (or if the Chair is the subject of the incident, another trustee) immediately.</w:t>
      </w:r>
    </w:p>
    <w:p w14:paraId="0D2DB6F7" w14:textId="77777777" w:rsidR="001B6CEE" w:rsidRPr="001B6CEE" w:rsidRDefault="001B6CEE" w:rsidP="001B6CEE">
      <w:pPr>
        <w:pStyle w:val="NormalWeb"/>
        <w:numPr>
          <w:ilvl w:val="0"/>
          <w:numId w:val="26"/>
        </w:numPr>
        <w:rPr>
          <w:rFonts w:asciiTheme="minorHAnsi" w:hAnsiTheme="minorHAnsi" w:cstheme="minorHAnsi"/>
          <w:sz w:val="22"/>
          <w:szCs w:val="22"/>
        </w:rPr>
      </w:pPr>
      <w:r w:rsidRPr="001B6CEE">
        <w:rPr>
          <w:rFonts w:asciiTheme="minorHAnsi" w:hAnsiTheme="minorHAnsi" w:cstheme="minorHAnsi"/>
          <w:sz w:val="22"/>
          <w:szCs w:val="22"/>
        </w:rPr>
        <w:t>The trustees will convene (or the Chair take initial action) to assess the incident promptly, take necessary immediate steps to protect the Charity (e.g., secure funds, communicate to stakeholders, halt payments or grant-making if needed), ensure any required statutory or regulatory bodies (e.g., police, data protection regulator) are notified as appropriate.</w:t>
      </w:r>
    </w:p>
    <w:p w14:paraId="2DD0C9D2" w14:textId="77777777" w:rsidR="001B6CEE" w:rsidRPr="001B6CEE" w:rsidRDefault="001B6CEE" w:rsidP="001B6CEE">
      <w:pPr>
        <w:pStyle w:val="Heading4"/>
        <w:rPr>
          <w:rFonts w:asciiTheme="minorHAnsi" w:hAnsiTheme="minorHAnsi" w:cstheme="minorHAnsi"/>
        </w:rPr>
      </w:pPr>
      <w:r w:rsidRPr="001B6CEE">
        <w:rPr>
          <w:rFonts w:asciiTheme="minorHAnsi" w:hAnsiTheme="minorHAnsi" w:cstheme="minorHAnsi"/>
        </w:rPr>
        <w:t>2.2 Assessment and reporting decision</w:t>
      </w:r>
    </w:p>
    <w:p w14:paraId="3DDB3795" w14:textId="711E4CDA" w:rsidR="001B6CEE" w:rsidRPr="001B6CEE" w:rsidRDefault="001B6CEE" w:rsidP="001B6CEE">
      <w:pPr>
        <w:pStyle w:val="NormalWeb"/>
        <w:numPr>
          <w:ilvl w:val="0"/>
          <w:numId w:val="27"/>
        </w:numPr>
        <w:rPr>
          <w:rFonts w:asciiTheme="minorHAnsi" w:hAnsiTheme="minorHAnsi" w:cstheme="minorHAnsi"/>
          <w:sz w:val="22"/>
          <w:szCs w:val="22"/>
        </w:rPr>
      </w:pPr>
      <w:r w:rsidRPr="001B6CEE">
        <w:rPr>
          <w:rFonts w:asciiTheme="minorHAnsi" w:hAnsiTheme="minorHAnsi" w:cstheme="minorHAnsi"/>
          <w:sz w:val="22"/>
          <w:szCs w:val="22"/>
        </w:rPr>
        <w:t xml:space="preserve">The trustees will consider whether the incident meets the threshold for reporting to the Charity Commission, using the Charity Commission’s guidance and examples. </w:t>
      </w:r>
    </w:p>
    <w:p w14:paraId="1DF0351C" w14:textId="32773FE8" w:rsidR="001B6CEE" w:rsidRPr="001B6CEE" w:rsidRDefault="001B6CEE" w:rsidP="001B6CEE">
      <w:pPr>
        <w:pStyle w:val="NormalWeb"/>
        <w:numPr>
          <w:ilvl w:val="0"/>
          <w:numId w:val="27"/>
        </w:numPr>
        <w:rPr>
          <w:rFonts w:asciiTheme="minorHAnsi" w:hAnsiTheme="minorHAnsi" w:cstheme="minorHAnsi"/>
          <w:sz w:val="22"/>
          <w:szCs w:val="22"/>
        </w:rPr>
      </w:pPr>
      <w:r w:rsidRPr="001B6CEE">
        <w:rPr>
          <w:rFonts w:asciiTheme="minorHAnsi" w:hAnsiTheme="minorHAnsi" w:cstheme="minorHAnsi"/>
          <w:sz w:val="22"/>
          <w:szCs w:val="22"/>
        </w:rPr>
        <w:t xml:space="preserve">If the trustees decide that the incident </w:t>
      </w:r>
      <w:r w:rsidRPr="001B6CEE">
        <w:rPr>
          <w:rStyle w:val="Strong"/>
          <w:rFonts w:asciiTheme="minorHAnsi" w:hAnsiTheme="minorHAnsi" w:cstheme="minorHAnsi"/>
          <w:sz w:val="22"/>
          <w:szCs w:val="22"/>
        </w:rPr>
        <w:t>does</w:t>
      </w:r>
      <w:r w:rsidRPr="001B6CEE">
        <w:rPr>
          <w:rFonts w:asciiTheme="minorHAnsi" w:hAnsiTheme="minorHAnsi" w:cstheme="minorHAnsi"/>
          <w:sz w:val="22"/>
          <w:szCs w:val="22"/>
        </w:rPr>
        <w:t xml:space="preserve"> meet the threshold, a report will be made online to the Charity Commission as soon as possible and in any case within </w:t>
      </w:r>
      <w:r w:rsidRPr="001B6CEE">
        <w:rPr>
          <w:rStyle w:val="Strong"/>
          <w:rFonts w:asciiTheme="minorHAnsi" w:hAnsiTheme="minorHAnsi" w:cstheme="minorHAnsi"/>
          <w:sz w:val="22"/>
          <w:szCs w:val="22"/>
        </w:rPr>
        <w:t>48 hours</w:t>
      </w:r>
      <w:r w:rsidRPr="001B6CEE">
        <w:rPr>
          <w:rFonts w:asciiTheme="minorHAnsi" w:hAnsiTheme="minorHAnsi" w:cstheme="minorHAnsi"/>
          <w:sz w:val="22"/>
          <w:szCs w:val="22"/>
        </w:rPr>
        <w:t xml:space="preserve"> of the trustees’ decision to report (or earlier if required by law/regulator). (While the Commission does not specify a rigid deadline for all cases, best practice is prompt; some sample policies use 48 hours). </w:t>
      </w:r>
    </w:p>
    <w:p w14:paraId="23322ED1" w14:textId="77777777" w:rsidR="001B6CEE" w:rsidRPr="001B6CEE" w:rsidRDefault="001B6CEE" w:rsidP="001B6CEE">
      <w:pPr>
        <w:pStyle w:val="NormalWeb"/>
        <w:numPr>
          <w:ilvl w:val="0"/>
          <w:numId w:val="27"/>
        </w:numPr>
        <w:rPr>
          <w:rFonts w:asciiTheme="minorHAnsi" w:hAnsiTheme="minorHAnsi" w:cstheme="minorHAnsi"/>
          <w:sz w:val="22"/>
          <w:szCs w:val="22"/>
        </w:rPr>
      </w:pPr>
      <w:r w:rsidRPr="001B6CEE">
        <w:rPr>
          <w:rFonts w:asciiTheme="minorHAnsi" w:hAnsiTheme="minorHAnsi" w:cstheme="minorHAnsi"/>
          <w:sz w:val="22"/>
          <w:szCs w:val="22"/>
        </w:rPr>
        <w:t xml:space="preserve">If the trustees decide that the incident </w:t>
      </w:r>
      <w:r w:rsidRPr="001B6CEE">
        <w:rPr>
          <w:rStyle w:val="Strong"/>
          <w:rFonts w:asciiTheme="minorHAnsi" w:hAnsiTheme="minorHAnsi" w:cstheme="minorHAnsi"/>
          <w:sz w:val="22"/>
          <w:szCs w:val="22"/>
        </w:rPr>
        <w:t>does not</w:t>
      </w:r>
      <w:r w:rsidRPr="001B6CEE">
        <w:rPr>
          <w:rFonts w:asciiTheme="minorHAnsi" w:hAnsiTheme="minorHAnsi" w:cstheme="minorHAnsi"/>
          <w:sz w:val="22"/>
          <w:szCs w:val="22"/>
        </w:rPr>
        <w:t xml:space="preserve"> require reporting, the decision and reasoning will still be recorded in the minutes, together with any mitigating actions taken.</w:t>
      </w:r>
    </w:p>
    <w:p w14:paraId="573AD1E1" w14:textId="77777777" w:rsidR="001B6CEE" w:rsidRPr="001B6CEE" w:rsidRDefault="001B6CEE" w:rsidP="001B6CEE">
      <w:pPr>
        <w:pStyle w:val="Heading4"/>
        <w:rPr>
          <w:rFonts w:asciiTheme="minorHAnsi" w:hAnsiTheme="minorHAnsi" w:cstheme="minorHAnsi"/>
        </w:rPr>
      </w:pPr>
      <w:r w:rsidRPr="001B6CEE">
        <w:rPr>
          <w:rFonts w:asciiTheme="minorHAnsi" w:hAnsiTheme="minorHAnsi" w:cstheme="minorHAnsi"/>
        </w:rPr>
        <w:t>2.3 Content of the report</w:t>
      </w:r>
    </w:p>
    <w:p w14:paraId="0692894C" w14:textId="77777777" w:rsidR="001B6CEE" w:rsidRPr="001B6CEE" w:rsidRDefault="001B6CEE" w:rsidP="001B6CEE">
      <w:pPr>
        <w:pStyle w:val="NormalWeb"/>
        <w:rPr>
          <w:rFonts w:asciiTheme="minorHAnsi" w:hAnsiTheme="minorHAnsi" w:cstheme="minorHAnsi"/>
          <w:sz w:val="22"/>
          <w:szCs w:val="22"/>
        </w:rPr>
      </w:pPr>
      <w:r w:rsidRPr="001B6CEE">
        <w:rPr>
          <w:rFonts w:asciiTheme="minorHAnsi" w:hAnsiTheme="minorHAnsi" w:cstheme="minorHAnsi"/>
          <w:sz w:val="22"/>
          <w:szCs w:val="22"/>
        </w:rPr>
        <w:t>When making a report to the Charity Commission, the trustees will provide:</w:t>
      </w:r>
    </w:p>
    <w:p w14:paraId="3EA9D2F2" w14:textId="77777777" w:rsidR="001B6CEE" w:rsidRPr="001B6CEE" w:rsidRDefault="001B6CEE" w:rsidP="001B6CEE">
      <w:pPr>
        <w:pStyle w:val="NormalWeb"/>
        <w:numPr>
          <w:ilvl w:val="0"/>
          <w:numId w:val="28"/>
        </w:numPr>
        <w:rPr>
          <w:rFonts w:asciiTheme="minorHAnsi" w:hAnsiTheme="minorHAnsi" w:cstheme="minorHAnsi"/>
          <w:sz w:val="22"/>
          <w:szCs w:val="22"/>
        </w:rPr>
      </w:pPr>
      <w:r w:rsidRPr="001B6CEE">
        <w:rPr>
          <w:rFonts w:asciiTheme="minorHAnsi" w:hAnsiTheme="minorHAnsi" w:cstheme="minorHAnsi"/>
          <w:sz w:val="22"/>
          <w:szCs w:val="22"/>
        </w:rPr>
        <w:lastRenderedPageBreak/>
        <w:t>details of the incident (what happened/ is alleged to have happened), date(s) and persons/organisations involved;</w:t>
      </w:r>
    </w:p>
    <w:p w14:paraId="140E5972" w14:textId="77777777" w:rsidR="001B6CEE" w:rsidRPr="001B6CEE" w:rsidRDefault="001B6CEE" w:rsidP="001B6CEE">
      <w:pPr>
        <w:pStyle w:val="NormalWeb"/>
        <w:numPr>
          <w:ilvl w:val="0"/>
          <w:numId w:val="28"/>
        </w:numPr>
        <w:rPr>
          <w:rFonts w:asciiTheme="minorHAnsi" w:hAnsiTheme="minorHAnsi" w:cstheme="minorHAnsi"/>
          <w:sz w:val="22"/>
          <w:szCs w:val="22"/>
        </w:rPr>
      </w:pPr>
      <w:r w:rsidRPr="001B6CEE">
        <w:rPr>
          <w:rFonts w:asciiTheme="minorHAnsi" w:hAnsiTheme="minorHAnsi" w:cstheme="minorHAnsi"/>
          <w:sz w:val="22"/>
          <w:szCs w:val="22"/>
        </w:rPr>
        <w:t>the Charity’s assessment of the impact/consequences (or potential consequences);</w:t>
      </w:r>
    </w:p>
    <w:p w14:paraId="058A217E" w14:textId="77777777" w:rsidR="001B6CEE" w:rsidRPr="001B6CEE" w:rsidRDefault="001B6CEE" w:rsidP="001B6CEE">
      <w:pPr>
        <w:pStyle w:val="NormalWeb"/>
        <w:numPr>
          <w:ilvl w:val="0"/>
          <w:numId w:val="28"/>
        </w:numPr>
        <w:rPr>
          <w:rFonts w:asciiTheme="minorHAnsi" w:hAnsiTheme="minorHAnsi" w:cstheme="minorHAnsi"/>
          <w:sz w:val="22"/>
          <w:szCs w:val="22"/>
        </w:rPr>
      </w:pPr>
      <w:r w:rsidRPr="001B6CEE">
        <w:rPr>
          <w:rFonts w:asciiTheme="minorHAnsi" w:hAnsiTheme="minorHAnsi" w:cstheme="minorHAnsi"/>
          <w:sz w:val="22"/>
          <w:szCs w:val="22"/>
        </w:rPr>
        <w:t>steps taken and planned by the Charity to manage/mitigate the incident and prevent recurrence;</w:t>
      </w:r>
    </w:p>
    <w:p w14:paraId="1F337F4B" w14:textId="77777777" w:rsidR="001B6CEE" w:rsidRPr="001B6CEE" w:rsidRDefault="001B6CEE" w:rsidP="001B6CEE">
      <w:pPr>
        <w:pStyle w:val="NormalWeb"/>
        <w:numPr>
          <w:ilvl w:val="0"/>
          <w:numId w:val="28"/>
        </w:numPr>
        <w:rPr>
          <w:rFonts w:asciiTheme="minorHAnsi" w:hAnsiTheme="minorHAnsi" w:cstheme="minorHAnsi"/>
          <w:sz w:val="22"/>
          <w:szCs w:val="22"/>
        </w:rPr>
      </w:pPr>
      <w:r w:rsidRPr="001B6CEE">
        <w:rPr>
          <w:rFonts w:asciiTheme="minorHAnsi" w:hAnsiTheme="minorHAnsi" w:cstheme="minorHAnsi"/>
          <w:sz w:val="22"/>
          <w:szCs w:val="22"/>
        </w:rPr>
        <w:t>details of any investigations or disciplinary action;</w:t>
      </w:r>
    </w:p>
    <w:p w14:paraId="15A733A5" w14:textId="77777777" w:rsidR="001B6CEE" w:rsidRPr="001B6CEE" w:rsidRDefault="001B6CEE" w:rsidP="001B6CEE">
      <w:pPr>
        <w:pStyle w:val="NormalWeb"/>
        <w:numPr>
          <w:ilvl w:val="0"/>
          <w:numId w:val="28"/>
        </w:numPr>
        <w:rPr>
          <w:rFonts w:asciiTheme="minorHAnsi" w:hAnsiTheme="minorHAnsi" w:cstheme="minorHAnsi"/>
          <w:sz w:val="22"/>
          <w:szCs w:val="22"/>
        </w:rPr>
      </w:pPr>
      <w:r w:rsidRPr="001B6CEE">
        <w:rPr>
          <w:rFonts w:asciiTheme="minorHAnsi" w:hAnsiTheme="minorHAnsi" w:cstheme="minorHAnsi"/>
          <w:sz w:val="22"/>
          <w:szCs w:val="22"/>
        </w:rPr>
        <w:t>whether any other regulators, law enforcement agencies or third parties have been informed; and</w:t>
      </w:r>
    </w:p>
    <w:p w14:paraId="4A74FAC9" w14:textId="15B0E95B" w:rsidR="001B6CEE" w:rsidRPr="00BA799F" w:rsidRDefault="001B6CEE" w:rsidP="00BA799F">
      <w:pPr>
        <w:pStyle w:val="NormalWeb"/>
        <w:numPr>
          <w:ilvl w:val="0"/>
          <w:numId w:val="28"/>
        </w:numPr>
        <w:rPr>
          <w:rFonts w:asciiTheme="minorHAnsi" w:hAnsiTheme="minorHAnsi" w:cstheme="minorHAnsi"/>
          <w:sz w:val="22"/>
          <w:szCs w:val="22"/>
        </w:rPr>
      </w:pPr>
      <w:r w:rsidRPr="001B6CEE">
        <w:rPr>
          <w:rFonts w:asciiTheme="minorHAnsi" w:hAnsiTheme="minorHAnsi" w:cstheme="minorHAnsi"/>
          <w:sz w:val="22"/>
          <w:szCs w:val="22"/>
        </w:rPr>
        <w:t>contact details of the person within the Charity who the Commission may contact for further information.</w:t>
      </w:r>
      <w:r w:rsidRPr="00BA799F">
        <w:rPr>
          <w:rFonts w:asciiTheme="minorHAnsi" w:hAnsiTheme="minorHAnsi" w:cstheme="minorHAnsi"/>
          <w:sz w:val="22"/>
          <w:szCs w:val="22"/>
        </w:rPr>
        <w:br/>
        <w:t xml:space="preserve">The Charity Commission online form will be used. </w:t>
      </w:r>
    </w:p>
    <w:p w14:paraId="04C5D38E" w14:textId="77777777" w:rsidR="001B6CEE" w:rsidRPr="001B6CEE" w:rsidRDefault="001B6CEE" w:rsidP="001B6CEE">
      <w:pPr>
        <w:pStyle w:val="Heading3"/>
        <w:rPr>
          <w:rFonts w:asciiTheme="minorHAnsi" w:hAnsiTheme="minorHAnsi" w:cstheme="minorHAnsi"/>
          <w:sz w:val="22"/>
          <w:szCs w:val="22"/>
        </w:rPr>
      </w:pPr>
      <w:r w:rsidRPr="001B6CEE">
        <w:rPr>
          <w:rFonts w:asciiTheme="minorHAnsi" w:hAnsiTheme="minorHAnsi" w:cstheme="minorHAnsi"/>
          <w:sz w:val="22"/>
          <w:szCs w:val="22"/>
        </w:rPr>
        <w:t>3. Record-keeping and follow-up</w:t>
      </w:r>
    </w:p>
    <w:p w14:paraId="34519C98" w14:textId="77777777" w:rsidR="001B6CEE" w:rsidRPr="001B6CEE" w:rsidRDefault="001B6CEE" w:rsidP="001B6CEE">
      <w:pPr>
        <w:pStyle w:val="NormalWeb"/>
        <w:numPr>
          <w:ilvl w:val="0"/>
          <w:numId w:val="29"/>
        </w:numPr>
        <w:rPr>
          <w:rFonts w:asciiTheme="minorHAnsi" w:hAnsiTheme="minorHAnsi" w:cstheme="minorHAnsi"/>
          <w:sz w:val="22"/>
          <w:szCs w:val="22"/>
        </w:rPr>
      </w:pPr>
      <w:r w:rsidRPr="001B6CEE">
        <w:rPr>
          <w:rFonts w:asciiTheme="minorHAnsi" w:hAnsiTheme="minorHAnsi" w:cstheme="minorHAnsi"/>
          <w:sz w:val="22"/>
          <w:szCs w:val="22"/>
        </w:rPr>
        <w:t>The trustees will record the incident, decision making, actions and outcomes in the minutes of the trustee meeting or a dedicated incident log.</w:t>
      </w:r>
    </w:p>
    <w:p w14:paraId="39F13AED" w14:textId="77777777" w:rsidR="001B6CEE" w:rsidRPr="001B6CEE" w:rsidRDefault="001B6CEE" w:rsidP="001B6CEE">
      <w:pPr>
        <w:pStyle w:val="NormalWeb"/>
        <w:numPr>
          <w:ilvl w:val="0"/>
          <w:numId w:val="29"/>
        </w:numPr>
        <w:rPr>
          <w:rFonts w:asciiTheme="minorHAnsi" w:hAnsiTheme="minorHAnsi" w:cstheme="minorHAnsi"/>
          <w:sz w:val="22"/>
          <w:szCs w:val="22"/>
        </w:rPr>
      </w:pPr>
      <w:r w:rsidRPr="001B6CEE">
        <w:rPr>
          <w:rFonts w:asciiTheme="minorHAnsi" w:hAnsiTheme="minorHAnsi" w:cstheme="minorHAnsi"/>
          <w:sz w:val="22"/>
          <w:szCs w:val="22"/>
        </w:rPr>
        <w:t>The Chair (or designated trustee) will ensure that any follow-up actions (investigation, internal review, policy changes) are completed, with progress reported to the trustees at a subsequent meeting.</w:t>
      </w:r>
    </w:p>
    <w:p w14:paraId="766E696A" w14:textId="77777777" w:rsidR="001B6CEE" w:rsidRPr="001B6CEE" w:rsidRDefault="001B6CEE" w:rsidP="001B6CEE">
      <w:pPr>
        <w:pStyle w:val="NormalWeb"/>
        <w:numPr>
          <w:ilvl w:val="0"/>
          <w:numId w:val="29"/>
        </w:numPr>
        <w:rPr>
          <w:rFonts w:asciiTheme="minorHAnsi" w:hAnsiTheme="minorHAnsi" w:cstheme="minorHAnsi"/>
          <w:sz w:val="22"/>
          <w:szCs w:val="22"/>
        </w:rPr>
      </w:pPr>
      <w:r w:rsidRPr="001B6CEE">
        <w:rPr>
          <w:rFonts w:asciiTheme="minorHAnsi" w:hAnsiTheme="minorHAnsi" w:cstheme="minorHAnsi"/>
          <w:sz w:val="22"/>
          <w:szCs w:val="22"/>
        </w:rPr>
        <w:t>Where necessary the trustees will review this policy and other relevant policies (e.g., financial controls, conflicts of interest, safeguarding) and update them in light of lessons learned.</w:t>
      </w:r>
    </w:p>
    <w:p w14:paraId="04CF071D" w14:textId="77777777" w:rsidR="001B6CEE" w:rsidRPr="001B6CEE" w:rsidRDefault="001B6CEE" w:rsidP="001B6CEE">
      <w:pPr>
        <w:pStyle w:val="Heading3"/>
        <w:rPr>
          <w:rFonts w:asciiTheme="minorHAnsi" w:hAnsiTheme="minorHAnsi" w:cstheme="minorHAnsi"/>
          <w:sz w:val="22"/>
          <w:szCs w:val="22"/>
        </w:rPr>
      </w:pPr>
      <w:r w:rsidRPr="001B6CEE">
        <w:rPr>
          <w:rFonts w:asciiTheme="minorHAnsi" w:hAnsiTheme="minorHAnsi" w:cstheme="minorHAnsi"/>
          <w:sz w:val="22"/>
          <w:szCs w:val="22"/>
        </w:rPr>
        <w:t>4. Review and communication</w:t>
      </w:r>
    </w:p>
    <w:p w14:paraId="1550A3E7" w14:textId="77777777" w:rsidR="001B6CEE" w:rsidRPr="001B6CEE" w:rsidRDefault="001B6CEE" w:rsidP="001B6CEE">
      <w:pPr>
        <w:pStyle w:val="NormalWeb"/>
        <w:numPr>
          <w:ilvl w:val="0"/>
          <w:numId w:val="30"/>
        </w:numPr>
        <w:rPr>
          <w:rFonts w:asciiTheme="minorHAnsi" w:hAnsiTheme="minorHAnsi" w:cstheme="minorHAnsi"/>
          <w:sz w:val="22"/>
          <w:szCs w:val="22"/>
        </w:rPr>
      </w:pPr>
      <w:r w:rsidRPr="001B6CEE">
        <w:rPr>
          <w:rFonts w:asciiTheme="minorHAnsi" w:hAnsiTheme="minorHAnsi" w:cstheme="minorHAnsi"/>
          <w:sz w:val="22"/>
          <w:szCs w:val="22"/>
        </w:rPr>
        <w:t>This policy will be reviewed at least annually, or sooner if a serious incident occurs, new guidance is issued, or the Charity’s size/activities change.</w:t>
      </w:r>
    </w:p>
    <w:p w14:paraId="51AC8984" w14:textId="77777777" w:rsidR="001B6CEE" w:rsidRPr="001B6CEE" w:rsidRDefault="001B6CEE" w:rsidP="001B6CEE">
      <w:pPr>
        <w:pStyle w:val="NormalWeb"/>
        <w:numPr>
          <w:ilvl w:val="0"/>
          <w:numId w:val="30"/>
        </w:numPr>
        <w:rPr>
          <w:rFonts w:asciiTheme="minorHAnsi" w:hAnsiTheme="minorHAnsi" w:cstheme="minorHAnsi"/>
          <w:sz w:val="22"/>
          <w:szCs w:val="22"/>
        </w:rPr>
      </w:pPr>
      <w:r w:rsidRPr="001B6CEE">
        <w:rPr>
          <w:rFonts w:asciiTheme="minorHAnsi" w:hAnsiTheme="minorHAnsi" w:cstheme="minorHAnsi"/>
          <w:sz w:val="22"/>
          <w:szCs w:val="22"/>
        </w:rPr>
        <w:t>The trustees may make this policy publicly available (for transparency).</w:t>
      </w:r>
    </w:p>
    <w:p w14:paraId="63247A6C" w14:textId="77777777" w:rsidR="001B6CEE" w:rsidRPr="001B6CEE" w:rsidRDefault="001B6CEE" w:rsidP="001B6CEE">
      <w:pPr>
        <w:pStyle w:val="NormalWeb"/>
        <w:numPr>
          <w:ilvl w:val="0"/>
          <w:numId w:val="30"/>
        </w:numPr>
        <w:rPr>
          <w:rFonts w:asciiTheme="minorHAnsi" w:hAnsiTheme="minorHAnsi" w:cstheme="minorHAnsi"/>
          <w:sz w:val="22"/>
          <w:szCs w:val="22"/>
        </w:rPr>
      </w:pPr>
      <w:r w:rsidRPr="001B6CEE">
        <w:rPr>
          <w:rFonts w:asciiTheme="minorHAnsi" w:hAnsiTheme="minorHAnsi" w:cstheme="minorHAnsi"/>
          <w:sz w:val="22"/>
          <w:szCs w:val="22"/>
        </w:rPr>
        <w:t>The trustees will ensure that staff (if any), volunteers (if any) and trustees are aware of this policy and know how to escalate a potential serious incident.</w:t>
      </w:r>
    </w:p>
    <w:p w14:paraId="0979698A" w14:textId="1F5FFF13" w:rsidR="001B6CEE" w:rsidRPr="001B6CEE" w:rsidRDefault="001B6CEE" w:rsidP="001B6CEE">
      <w:pPr>
        <w:pStyle w:val="NormalWeb"/>
        <w:rPr>
          <w:rFonts w:asciiTheme="minorHAnsi" w:hAnsiTheme="minorHAnsi" w:cstheme="minorHAnsi"/>
          <w:sz w:val="22"/>
          <w:szCs w:val="22"/>
        </w:rPr>
      </w:pPr>
      <w:r w:rsidRPr="001B6CEE">
        <w:rPr>
          <w:rStyle w:val="Strong"/>
          <w:rFonts w:asciiTheme="minorHAnsi" w:hAnsiTheme="minorHAnsi" w:cstheme="minorHAnsi"/>
          <w:sz w:val="22"/>
          <w:szCs w:val="22"/>
        </w:rPr>
        <w:t>Signed:</w:t>
      </w:r>
      <w:r w:rsidR="00BA799F">
        <w:rPr>
          <w:rStyle w:val="Strong"/>
          <w:rFonts w:asciiTheme="minorHAnsi" w:hAnsiTheme="minorHAnsi" w:cstheme="minorHAnsi"/>
          <w:sz w:val="22"/>
          <w:szCs w:val="22"/>
        </w:rPr>
        <w:br/>
      </w:r>
      <w:r w:rsidRPr="001B6CEE">
        <w:rPr>
          <w:rFonts w:asciiTheme="minorHAnsi" w:hAnsiTheme="minorHAnsi" w:cstheme="minorHAnsi"/>
          <w:sz w:val="22"/>
          <w:szCs w:val="22"/>
        </w:rPr>
        <w:br/>
        <w:t>Chair of Trustees:</w:t>
      </w:r>
      <w:r w:rsidR="00BA799F">
        <w:rPr>
          <w:rFonts w:asciiTheme="minorHAnsi" w:hAnsiTheme="minorHAnsi" w:cstheme="minorHAnsi"/>
          <w:sz w:val="22"/>
          <w:szCs w:val="22"/>
        </w:rPr>
        <w:t xml:space="preserve"> PETER PRITCHARD</w:t>
      </w:r>
      <w:r w:rsidR="00BA799F">
        <w:rPr>
          <w:rFonts w:asciiTheme="minorHAnsi" w:hAnsiTheme="minorHAnsi" w:cstheme="minorHAnsi"/>
          <w:sz w:val="22"/>
          <w:szCs w:val="22"/>
        </w:rPr>
        <w:br/>
      </w:r>
      <w:r w:rsidRPr="001B6CEE">
        <w:rPr>
          <w:rFonts w:asciiTheme="minorHAnsi" w:hAnsiTheme="minorHAnsi" w:cstheme="minorHAnsi"/>
          <w:sz w:val="22"/>
          <w:szCs w:val="22"/>
        </w:rPr>
        <w:br/>
        <w:t>Date: __ / __ / ___</w:t>
      </w:r>
    </w:p>
    <w:p w14:paraId="463B38A1" w14:textId="77777777" w:rsidR="001B6CEE" w:rsidRDefault="001B6CEE" w:rsidP="001B6CEE">
      <w:pPr>
        <w:rPr>
          <w:rFonts w:cstheme="minorHAnsi"/>
        </w:rPr>
      </w:pPr>
    </w:p>
    <w:p w14:paraId="1AB763F7" w14:textId="77777777" w:rsidR="001B6CEE" w:rsidRDefault="001B6CEE" w:rsidP="001B6CEE">
      <w:pPr>
        <w:rPr>
          <w:rFonts w:cstheme="minorHAnsi"/>
        </w:rPr>
      </w:pPr>
    </w:p>
    <w:p w14:paraId="195EED8C" w14:textId="77777777" w:rsidR="001B6CEE" w:rsidRDefault="001B6CEE" w:rsidP="001B6CEE">
      <w:pPr>
        <w:rPr>
          <w:rFonts w:cstheme="minorHAnsi"/>
        </w:rPr>
      </w:pPr>
    </w:p>
    <w:p w14:paraId="11D2809E" w14:textId="0882B4CE" w:rsidR="001B6CEE" w:rsidRPr="001B6CEE" w:rsidRDefault="007C51F9" w:rsidP="001B6CEE">
      <w:pPr>
        <w:rPr>
          <w:rFonts w:cstheme="minorHAnsi"/>
        </w:rPr>
      </w:pPr>
      <w:r>
        <w:rPr>
          <w:rFonts w:cstheme="minorHAnsi"/>
          <w:noProof/>
        </w:rPr>
        <w:pict w14:anchorId="0F6E6F7C">
          <v:rect id="_x0000_i1025" alt="" style="width:451.3pt;height:.05pt;mso-width-percent:0;mso-height-percent:0;mso-width-percent:0;mso-height-percent:0" o:hralign="center" o:hrstd="t" o:hr="t" fillcolor="#a0a0a0" stroked="f"/>
        </w:pict>
      </w:r>
    </w:p>
    <w:p w14:paraId="2B7F0FF3" w14:textId="539CEAB0" w:rsidR="00193C20" w:rsidRPr="00193C20" w:rsidRDefault="00193C20" w:rsidP="005A599C">
      <w:pPr>
        <w:pStyle w:val="Heading3"/>
        <w:rPr>
          <w:rFonts w:asciiTheme="minorHAnsi" w:hAnsiTheme="minorHAnsi" w:cstheme="minorHAnsi"/>
          <w:sz w:val="22"/>
          <w:szCs w:val="22"/>
        </w:rPr>
      </w:pPr>
    </w:p>
    <w:sectPr w:rsidR="00193C20" w:rsidRPr="00193C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7BCD"/>
    <w:multiLevelType w:val="multilevel"/>
    <w:tmpl w:val="5B9E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E44AA"/>
    <w:multiLevelType w:val="hybridMultilevel"/>
    <w:tmpl w:val="E392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1051E"/>
    <w:multiLevelType w:val="hybridMultilevel"/>
    <w:tmpl w:val="16820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35C54"/>
    <w:multiLevelType w:val="hybridMultilevel"/>
    <w:tmpl w:val="AC6C3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92591"/>
    <w:multiLevelType w:val="hybridMultilevel"/>
    <w:tmpl w:val="A98CF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C799D"/>
    <w:multiLevelType w:val="multilevel"/>
    <w:tmpl w:val="9B5A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001E7A"/>
    <w:multiLevelType w:val="multilevel"/>
    <w:tmpl w:val="CC98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C2BC5"/>
    <w:multiLevelType w:val="multilevel"/>
    <w:tmpl w:val="B274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35742"/>
    <w:multiLevelType w:val="hybridMultilevel"/>
    <w:tmpl w:val="7CC89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043F5"/>
    <w:multiLevelType w:val="multilevel"/>
    <w:tmpl w:val="8C30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0E3E55"/>
    <w:multiLevelType w:val="multilevel"/>
    <w:tmpl w:val="2A34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B95255"/>
    <w:multiLevelType w:val="multilevel"/>
    <w:tmpl w:val="C086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877546"/>
    <w:multiLevelType w:val="multilevel"/>
    <w:tmpl w:val="878A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11187C"/>
    <w:multiLevelType w:val="multilevel"/>
    <w:tmpl w:val="E3D6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7F15CC"/>
    <w:multiLevelType w:val="multilevel"/>
    <w:tmpl w:val="E83E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8A5FE8"/>
    <w:multiLevelType w:val="multilevel"/>
    <w:tmpl w:val="34B4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345873"/>
    <w:multiLevelType w:val="multilevel"/>
    <w:tmpl w:val="051C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45909"/>
    <w:multiLevelType w:val="multilevel"/>
    <w:tmpl w:val="D194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93510E"/>
    <w:multiLevelType w:val="hybridMultilevel"/>
    <w:tmpl w:val="9D462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1E4DB9"/>
    <w:multiLevelType w:val="hybridMultilevel"/>
    <w:tmpl w:val="DE46B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B53C1D"/>
    <w:multiLevelType w:val="hybridMultilevel"/>
    <w:tmpl w:val="E21E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B7395F"/>
    <w:multiLevelType w:val="hybridMultilevel"/>
    <w:tmpl w:val="41328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2E2711"/>
    <w:multiLevelType w:val="multilevel"/>
    <w:tmpl w:val="CCA6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837C77"/>
    <w:multiLevelType w:val="multilevel"/>
    <w:tmpl w:val="8F16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DA5DEA"/>
    <w:multiLevelType w:val="multilevel"/>
    <w:tmpl w:val="4B18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65015E"/>
    <w:multiLevelType w:val="hybridMultilevel"/>
    <w:tmpl w:val="4B30F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670FC2"/>
    <w:multiLevelType w:val="multilevel"/>
    <w:tmpl w:val="6ED0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1405EB"/>
    <w:multiLevelType w:val="multilevel"/>
    <w:tmpl w:val="6262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5E6C07"/>
    <w:multiLevelType w:val="hybridMultilevel"/>
    <w:tmpl w:val="4FDC0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CA57F7"/>
    <w:multiLevelType w:val="hybridMultilevel"/>
    <w:tmpl w:val="B84CE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1584947">
    <w:abstractNumId w:val="20"/>
  </w:num>
  <w:num w:numId="2" w16cid:durableId="471874293">
    <w:abstractNumId w:val="4"/>
  </w:num>
  <w:num w:numId="3" w16cid:durableId="85930856">
    <w:abstractNumId w:val="18"/>
  </w:num>
  <w:num w:numId="4" w16cid:durableId="818574570">
    <w:abstractNumId w:val="1"/>
  </w:num>
  <w:num w:numId="5" w16cid:durableId="31343141">
    <w:abstractNumId w:val="19"/>
  </w:num>
  <w:num w:numId="6" w16cid:durableId="695158758">
    <w:abstractNumId w:val="28"/>
  </w:num>
  <w:num w:numId="7" w16cid:durableId="901137960">
    <w:abstractNumId w:val="8"/>
  </w:num>
  <w:num w:numId="8" w16cid:durableId="861279475">
    <w:abstractNumId w:val="25"/>
  </w:num>
  <w:num w:numId="9" w16cid:durableId="1769809551">
    <w:abstractNumId w:val="29"/>
  </w:num>
  <w:num w:numId="10" w16cid:durableId="1384525980">
    <w:abstractNumId w:val="2"/>
  </w:num>
  <w:num w:numId="11" w16cid:durableId="1725907447">
    <w:abstractNumId w:val="21"/>
  </w:num>
  <w:num w:numId="12" w16cid:durableId="5795587">
    <w:abstractNumId w:val="3"/>
  </w:num>
  <w:num w:numId="13" w16cid:durableId="502866039">
    <w:abstractNumId w:val="16"/>
  </w:num>
  <w:num w:numId="14" w16cid:durableId="94063194">
    <w:abstractNumId w:val="10"/>
  </w:num>
  <w:num w:numId="15" w16cid:durableId="2146190518">
    <w:abstractNumId w:val="9"/>
  </w:num>
  <w:num w:numId="16" w16cid:durableId="1931425455">
    <w:abstractNumId w:val="17"/>
  </w:num>
  <w:num w:numId="17" w16cid:durableId="1961836572">
    <w:abstractNumId w:val="7"/>
  </w:num>
  <w:num w:numId="18" w16cid:durableId="1322199765">
    <w:abstractNumId w:val="15"/>
  </w:num>
  <w:num w:numId="19" w16cid:durableId="1269780024">
    <w:abstractNumId w:val="27"/>
  </w:num>
  <w:num w:numId="20" w16cid:durableId="2102097917">
    <w:abstractNumId w:val="0"/>
  </w:num>
  <w:num w:numId="21" w16cid:durableId="2116825462">
    <w:abstractNumId w:val="26"/>
  </w:num>
  <w:num w:numId="22" w16cid:durableId="1925600422">
    <w:abstractNumId w:val="11"/>
  </w:num>
  <w:num w:numId="23" w16cid:durableId="1447851744">
    <w:abstractNumId w:val="13"/>
  </w:num>
  <w:num w:numId="24" w16cid:durableId="527329125">
    <w:abstractNumId w:val="12"/>
  </w:num>
  <w:num w:numId="25" w16cid:durableId="650209884">
    <w:abstractNumId w:val="24"/>
  </w:num>
  <w:num w:numId="26" w16cid:durableId="1331522328">
    <w:abstractNumId w:val="6"/>
  </w:num>
  <w:num w:numId="27" w16cid:durableId="1638682305">
    <w:abstractNumId w:val="22"/>
  </w:num>
  <w:num w:numId="28" w16cid:durableId="739597971">
    <w:abstractNumId w:val="5"/>
  </w:num>
  <w:num w:numId="29" w16cid:durableId="1594361106">
    <w:abstractNumId w:val="23"/>
  </w:num>
  <w:num w:numId="30" w16cid:durableId="17504240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1E8"/>
    <w:rsid w:val="0005495A"/>
    <w:rsid w:val="000D378A"/>
    <w:rsid w:val="00165C92"/>
    <w:rsid w:val="00182C7F"/>
    <w:rsid w:val="00193C20"/>
    <w:rsid w:val="001B6CEE"/>
    <w:rsid w:val="001B7DCA"/>
    <w:rsid w:val="001C4342"/>
    <w:rsid w:val="0037422B"/>
    <w:rsid w:val="003829C2"/>
    <w:rsid w:val="003A053A"/>
    <w:rsid w:val="004439A1"/>
    <w:rsid w:val="00454E4C"/>
    <w:rsid w:val="004C1F00"/>
    <w:rsid w:val="004F3A50"/>
    <w:rsid w:val="005A599C"/>
    <w:rsid w:val="005D418B"/>
    <w:rsid w:val="006A3254"/>
    <w:rsid w:val="006B0521"/>
    <w:rsid w:val="006E1F31"/>
    <w:rsid w:val="0070428B"/>
    <w:rsid w:val="00735690"/>
    <w:rsid w:val="00794D1F"/>
    <w:rsid w:val="007B31E8"/>
    <w:rsid w:val="007C51F9"/>
    <w:rsid w:val="008457C9"/>
    <w:rsid w:val="00873FA6"/>
    <w:rsid w:val="009557E4"/>
    <w:rsid w:val="009D4473"/>
    <w:rsid w:val="00A80FC8"/>
    <w:rsid w:val="00AE400B"/>
    <w:rsid w:val="00AE58D4"/>
    <w:rsid w:val="00AF2003"/>
    <w:rsid w:val="00B17C62"/>
    <w:rsid w:val="00B20E4C"/>
    <w:rsid w:val="00BA799F"/>
    <w:rsid w:val="00C64A2B"/>
    <w:rsid w:val="00CA5255"/>
    <w:rsid w:val="00D34148"/>
    <w:rsid w:val="00D52305"/>
    <w:rsid w:val="00DF2AC6"/>
    <w:rsid w:val="00E91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13EF8"/>
  <w15:chartTrackingRefBased/>
  <w15:docId w15:val="{56211EE9-CC6A-454C-8CF2-98C37353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93C2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next w:val="Normal"/>
    <w:link w:val="Heading4Char"/>
    <w:uiPriority w:val="9"/>
    <w:semiHidden/>
    <w:unhideWhenUsed/>
    <w:qFormat/>
    <w:rsid w:val="001B6CE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22B"/>
    <w:pPr>
      <w:ind w:left="720"/>
      <w:contextualSpacing/>
    </w:pPr>
  </w:style>
  <w:style w:type="character" w:customStyle="1" w:styleId="Heading3Char">
    <w:name w:val="Heading 3 Char"/>
    <w:basedOn w:val="DefaultParagraphFont"/>
    <w:link w:val="Heading3"/>
    <w:uiPriority w:val="9"/>
    <w:rsid w:val="00193C20"/>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193C2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ms-1">
    <w:name w:val="ms-1"/>
    <w:basedOn w:val="DefaultParagraphFont"/>
    <w:rsid w:val="00193C20"/>
  </w:style>
  <w:style w:type="character" w:customStyle="1" w:styleId="max-w-15ch">
    <w:name w:val="max-w-[15ch]"/>
    <w:basedOn w:val="DefaultParagraphFont"/>
    <w:rsid w:val="00193C20"/>
  </w:style>
  <w:style w:type="character" w:customStyle="1" w:styleId="-me-1">
    <w:name w:val="-me-1"/>
    <w:basedOn w:val="DefaultParagraphFont"/>
    <w:rsid w:val="00193C20"/>
  </w:style>
  <w:style w:type="character" w:styleId="Emphasis">
    <w:name w:val="Emphasis"/>
    <w:basedOn w:val="DefaultParagraphFont"/>
    <w:uiPriority w:val="20"/>
    <w:qFormat/>
    <w:rsid w:val="00193C20"/>
    <w:rPr>
      <w:i/>
      <w:iCs/>
    </w:rPr>
  </w:style>
  <w:style w:type="character" w:styleId="Strong">
    <w:name w:val="Strong"/>
    <w:basedOn w:val="DefaultParagraphFont"/>
    <w:uiPriority w:val="22"/>
    <w:qFormat/>
    <w:rsid w:val="00193C20"/>
    <w:rPr>
      <w:b/>
      <w:bCs/>
    </w:rPr>
  </w:style>
  <w:style w:type="character" w:customStyle="1" w:styleId="Heading4Char">
    <w:name w:val="Heading 4 Char"/>
    <w:basedOn w:val="DefaultParagraphFont"/>
    <w:link w:val="Heading4"/>
    <w:uiPriority w:val="9"/>
    <w:semiHidden/>
    <w:rsid w:val="001B6CE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Pritchard</dc:creator>
  <cp:keywords/>
  <dc:description/>
  <cp:lastModifiedBy>Peter Pritchard</cp:lastModifiedBy>
  <cp:revision>2</cp:revision>
  <dcterms:created xsi:type="dcterms:W3CDTF">2025-11-26T13:58:00Z</dcterms:created>
  <dcterms:modified xsi:type="dcterms:W3CDTF">2025-11-26T13:58:00Z</dcterms:modified>
</cp:coreProperties>
</file>